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332A" w14:textId="77777777" w:rsidR="00004D7A" w:rsidRDefault="00FB68BD" w:rsidP="00FB0E88">
      <w:pPr>
        <w:jc w:val="center"/>
        <w:rPr>
          <w:b/>
          <w:bCs/>
        </w:rPr>
      </w:pPr>
      <w:smartTag w:uri="schemas-tilde-lv/tildestengine" w:element="veidnes">
        <w:smartTagPr>
          <w:attr w:name="text" w:val="Izziņa"/>
          <w:attr w:name="baseform" w:val="Izziņa"/>
          <w:attr w:name="id" w:val="-1"/>
        </w:smartTagPr>
        <w:r w:rsidRPr="005F5C7A">
          <w:rPr>
            <w:b/>
            <w:bCs/>
          </w:rPr>
          <w:t>Izziņa</w:t>
        </w:r>
      </w:smartTag>
      <w:r w:rsidRPr="005F5C7A">
        <w:rPr>
          <w:b/>
          <w:bCs/>
        </w:rPr>
        <w:t xml:space="preserve"> par atzinumos sniegtajiem</w:t>
      </w:r>
      <w:r w:rsidR="000E6A5D" w:rsidRPr="005F5C7A">
        <w:rPr>
          <w:b/>
          <w:bCs/>
        </w:rPr>
        <w:t xml:space="preserve"> iebildumiem par </w:t>
      </w:r>
      <w:r w:rsidR="005F5C7A" w:rsidRPr="005F5C7A">
        <w:rPr>
          <w:b/>
          <w:bCs/>
        </w:rPr>
        <w:t>konceptuālā ziņojuma</w:t>
      </w:r>
      <w:r w:rsidR="005F5C7A">
        <w:rPr>
          <w:b/>
          <w:bCs/>
        </w:rPr>
        <w:t xml:space="preserve"> projektu</w:t>
      </w:r>
      <w:r w:rsidR="005F5C7A" w:rsidRPr="005F5C7A">
        <w:rPr>
          <w:b/>
          <w:bCs/>
        </w:rPr>
        <w:t xml:space="preserve"> </w:t>
      </w:r>
    </w:p>
    <w:p w14:paraId="656EB41D" w14:textId="77777777" w:rsidR="00F00A89" w:rsidRPr="005F5C7A" w:rsidRDefault="005F5C7A" w:rsidP="00FB0E88">
      <w:pPr>
        <w:jc w:val="center"/>
        <w:rPr>
          <w:b/>
          <w:bCs/>
        </w:rPr>
      </w:pPr>
      <w:r w:rsidRPr="005F5C7A">
        <w:rPr>
          <w:b/>
          <w:bCs/>
        </w:rPr>
        <w:t>„</w:t>
      </w:r>
      <w:r w:rsidR="00004D7A" w:rsidRPr="00004D7A">
        <w:t xml:space="preserve"> </w:t>
      </w:r>
      <w:r w:rsidR="00004D7A" w:rsidRPr="00004D7A">
        <w:rPr>
          <w:b/>
          <w:bCs/>
        </w:rPr>
        <w:t>Asistenta pakalpojums augstākās izglītības posmā</w:t>
      </w:r>
      <w:r w:rsidRPr="005F5C7A">
        <w:rPr>
          <w:b/>
          <w:bCs/>
        </w:rPr>
        <w:t xml:space="preserve">” </w:t>
      </w:r>
    </w:p>
    <w:p w14:paraId="63009EEA" w14:textId="77777777" w:rsidR="00FB68BD" w:rsidRPr="00FB036F" w:rsidRDefault="00FB68BD" w:rsidP="0045657B">
      <w:pPr>
        <w:jc w:val="center"/>
        <w:rPr>
          <w:b/>
        </w:rPr>
      </w:pPr>
    </w:p>
    <w:p w14:paraId="29DD63CE" w14:textId="77777777" w:rsidR="00FB68BD" w:rsidRPr="00FB036F" w:rsidRDefault="00FB68BD" w:rsidP="00FB68BD">
      <w:pPr>
        <w:pStyle w:val="naisf"/>
        <w:spacing w:before="0" w:after="0"/>
        <w:ind w:firstLine="0"/>
        <w:jc w:val="center"/>
        <w:rPr>
          <w:b/>
        </w:rPr>
      </w:pPr>
      <w:r w:rsidRPr="00FB036F">
        <w:rPr>
          <w:b/>
        </w:rPr>
        <w:t>I.</w:t>
      </w:r>
      <w:r w:rsidR="00B46348" w:rsidRPr="00FB036F">
        <w:rPr>
          <w:b/>
        </w:rPr>
        <w:t xml:space="preserve"> </w:t>
      </w:r>
      <w:r w:rsidRPr="00FB036F">
        <w:rPr>
          <w:b/>
        </w:rPr>
        <w:t> Jautājumi, par kuriem saskaņošanā vienošanās nav panākta</w:t>
      </w:r>
    </w:p>
    <w:p w14:paraId="2D4AA5C9" w14:textId="77777777" w:rsidR="00FB68BD" w:rsidRPr="00FB036F" w:rsidRDefault="00FB68BD" w:rsidP="00FB68BD">
      <w:pPr>
        <w:pStyle w:val="naisf"/>
        <w:spacing w:before="0" w:after="0"/>
        <w:ind w:firstLine="720"/>
      </w:pPr>
    </w:p>
    <w:tbl>
      <w:tblPr>
        <w:tblW w:w="14147" w:type="dxa"/>
        <w:tblInd w:w="-9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8"/>
        <w:gridCol w:w="709"/>
        <w:gridCol w:w="2126"/>
        <w:gridCol w:w="210"/>
        <w:gridCol w:w="1174"/>
        <w:gridCol w:w="2018"/>
        <w:gridCol w:w="2835"/>
        <w:gridCol w:w="66"/>
        <w:gridCol w:w="2061"/>
        <w:gridCol w:w="556"/>
        <w:gridCol w:w="2277"/>
        <w:gridCol w:w="27"/>
      </w:tblGrid>
      <w:tr w:rsidR="000F62FD" w:rsidRPr="00FB036F" w14:paraId="74B1CFBF" w14:textId="77777777" w:rsidTr="002456E7">
        <w:trPr>
          <w:trHeight w:val="1423"/>
        </w:trPr>
        <w:tc>
          <w:tcPr>
            <w:tcW w:w="797" w:type="dxa"/>
            <w:gridSpan w:val="2"/>
            <w:tcBorders>
              <w:top w:val="single" w:sz="6" w:space="0" w:color="000000"/>
              <w:left w:val="single" w:sz="6" w:space="0" w:color="000000"/>
              <w:bottom w:val="single" w:sz="6" w:space="0" w:color="000000"/>
              <w:right w:val="single" w:sz="6" w:space="0" w:color="000000"/>
            </w:tcBorders>
            <w:vAlign w:val="center"/>
          </w:tcPr>
          <w:p w14:paraId="23C6E298" w14:textId="77777777" w:rsidR="000F62FD" w:rsidRPr="00FB036F" w:rsidRDefault="000F62FD" w:rsidP="00F51E1A">
            <w:pPr>
              <w:pStyle w:val="naisc"/>
              <w:spacing w:before="0" w:after="0"/>
            </w:pPr>
            <w:r w:rsidRPr="00FB036F">
              <w:t>Nr. P.k.</w:t>
            </w:r>
          </w:p>
        </w:tc>
        <w:tc>
          <w:tcPr>
            <w:tcW w:w="2126" w:type="dxa"/>
            <w:tcBorders>
              <w:top w:val="single" w:sz="6" w:space="0" w:color="000000"/>
              <w:left w:val="single" w:sz="6" w:space="0" w:color="000000"/>
              <w:bottom w:val="single" w:sz="6" w:space="0" w:color="000000"/>
              <w:right w:val="single" w:sz="6" w:space="0" w:color="000000"/>
            </w:tcBorders>
            <w:vAlign w:val="center"/>
          </w:tcPr>
          <w:p w14:paraId="1FEF9B24" w14:textId="77777777" w:rsidR="000F62FD" w:rsidRPr="00FB036F" w:rsidRDefault="000F62FD" w:rsidP="00F51E1A">
            <w:pPr>
              <w:pStyle w:val="naisc"/>
              <w:spacing w:before="0" w:after="0"/>
              <w:ind w:firstLine="12"/>
            </w:pPr>
            <w:r w:rsidRPr="00FB036F">
              <w:t>Saskaņošanai nosūtītā projekta redakcija (konkrēta punkta (panta) redakcija)</w:t>
            </w:r>
          </w:p>
        </w:tc>
        <w:tc>
          <w:tcPr>
            <w:tcW w:w="3402" w:type="dxa"/>
            <w:gridSpan w:val="3"/>
            <w:tcBorders>
              <w:top w:val="single" w:sz="6" w:space="0" w:color="000000"/>
              <w:left w:val="single" w:sz="6" w:space="0" w:color="000000"/>
              <w:bottom w:val="single" w:sz="6" w:space="0" w:color="000000"/>
              <w:right w:val="single" w:sz="6" w:space="0" w:color="000000"/>
            </w:tcBorders>
            <w:vAlign w:val="center"/>
          </w:tcPr>
          <w:p w14:paraId="461F7737" w14:textId="77777777" w:rsidR="000F62FD" w:rsidRPr="00FB036F" w:rsidRDefault="000F62FD" w:rsidP="00F51E1A">
            <w:pPr>
              <w:pStyle w:val="naisc"/>
              <w:spacing w:before="0" w:after="0"/>
              <w:ind w:right="3"/>
              <w:jc w:val="both"/>
            </w:pPr>
            <w:r w:rsidRPr="00FB036F">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14:paraId="402D493B" w14:textId="77777777" w:rsidR="000F62FD" w:rsidRPr="00FB036F" w:rsidRDefault="000F62FD" w:rsidP="00F51E1A">
            <w:pPr>
              <w:pStyle w:val="naisc"/>
              <w:spacing w:before="0" w:after="0"/>
              <w:ind w:firstLine="21"/>
            </w:pPr>
            <w:r w:rsidRPr="00FB036F">
              <w:t>Atbildīgās ministrijas norāde par to, ka iebildums ir ņemts vērā, vai informācija par saskaņošanā panākto alternatīvo risinājumu</w:t>
            </w:r>
          </w:p>
        </w:tc>
        <w:tc>
          <w:tcPr>
            <w:tcW w:w="2127" w:type="dxa"/>
            <w:gridSpan w:val="2"/>
            <w:tcBorders>
              <w:top w:val="single" w:sz="4" w:space="0" w:color="auto"/>
              <w:left w:val="single" w:sz="4" w:space="0" w:color="auto"/>
              <w:bottom w:val="single" w:sz="4" w:space="0" w:color="auto"/>
              <w:right w:val="single" w:sz="4" w:space="0" w:color="auto"/>
            </w:tcBorders>
          </w:tcPr>
          <w:p w14:paraId="245F2484" w14:textId="77777777" w:rsidR="000F62FD" w:rsidRPr="00FB036F" w:rsidRDefault="000F62FD" w:rsidP="00F51E1A">
            <w:pPr>
              <w:tabs>
                <w:tab w:val="left" w:pos="1877"/>
                <w:tab w:val="left" w:pos="1910"/>
              </w:tabs>
              <w:jc w:val="center"/>
            </w:pPr>
            <w:r w:rsidRPr="000F62FD">
              <w:t>Atzinuma sniedzēja uzturētais iebildums, ja tas atšķiras no atzinumā norādītā iebilduma pamatojuma</w:t>
            </w:r>
          </w:p>
        </w:tc>
        <w:tc>
          <w:tcPr>
            <w:tcW w:w="2860" w:type="dxa"/>
            <w:gridSpan w:val="3"/>
            <w:tcBorders>
              <w:top w:val="single" w:sz="4" w:space="0" w:color="auto"/>
              <w:left w:val="single" w:sz="4" w:space="0" w:color="auto"/>
              <w:bottom w:val="single" w:sz="4" w:space="0" w:color="auto"/>
            </w:tcBorders>
            <w:vAlign w:val="center"/>
          </w:tcPr>
          <w:p w14:paraId="7108ABC0" w14:textId="77777777" w:rsidR="000F62FD" w:rsidRPr="00FB036F" w:rsidRDefault="000F62FD" w:rsidP="00F51E1A">
            <w:pPr>
              <w:tabs>
                <w:tab w:val="left" w:pos="1877"/>
                <w:tab w:val="left" w:pos="1910"/>
              </w:tabs>
              <w:jc w:val="center"/>
            </w:pPr>
            <w:r w:rsidRPr="00FB036F">
              <w:t>Projekta attiecīgā punkta (panta) galīgā redakcija</w:t>
            </w:r>
          </w:p>
        </w:tc>
      </w:tr>
      <w:tr w:rsidR="000F62FD" w:rsidRPr="00FB036F" w14:paraId="34D9FB7F" w14:textId="77777777" w:rsidTr="002456E7">
        <w:trPr>
          <w:trHeight w:val="278"/>
        </w:trPr>
        <w:tc>
          <w:tcPr>
            <w:tcW w:w="797" w:type="dxa"/>
            <w:gridSpan w:val="2"/>
            <w:tcBorders>
              <w:top w:val="single" w:sz="6" w:space="0" w:color="000000"/>
              <w:left w:val="single" w:sz="6" w:space="0" w:color="000000"/>
              <w:bottom w:val="single" w:sz="6" w:space="0" w:color="000000"/>
              <w:right w:val="single" w:sz="6" w:space="0" w:color="000000"/>
            </w:tcBorders>
          </w:tcPr>
          <w:p w14:paraId="647BBAE9" w14:textId="77777777" w:rsidR="000F62FD" w:rsidRPr="008A36C9" w:rsidRDefault="000F62FD" w:rsidP="000F62FD">
            <w:pPr>
              <w:pStyle w:val="naisc"/>
              <w:spacing w:before="0" w:after="0"/>
              <w:rPr>
                <w:sz w:val="20"/>
                <w:szCs w:val="20"/>
              </w:rPr>
            </w:pPr>
            <w:r w:rsidRPr="008A36C9">
              <w:rPr>
                <w:sz w:val="20"/>
                <w:szCs w:val="20"/>
              </w:rPr>
              <w:t>1</w:t>
            </w:r>
          </w:p>
        </w:tc>
        <w:tc>
          <w:tcPr>
            <w:tcW w:w="2126" w:type="dxa"/>
            <w:tcBorders>
              <w:top w:val="single" w:sz="6" w:space="0" w:color="000000"/>
              <w:left w:val="single" w:sz="6" w:space="0" w:color="000000"/>
              <w:bottom w:val="single" w:sz="6" w:space="0" w:color="000000"/>
              <w:right w:val="single" w:sz="6" w:space="0" w:color="000000"/>
            </w:tcBorders>
          </w:tcPr>
          <w:p w14:paraId="79BE6577" w14:textId="77777777" w:rsidR="000F62FD" w:rsidRPr="008A36C9" w:rsidRDefault="000F62FD" w:rsidP="000F62FD">
            <w:pPr>
              <w:pStyle w:val="naisc"/>
              <w:spacing w:before="0" w:after="0"/>
              <w:ind w:firstLine="720"/>
              <w:rPr>
                <w:sz w:val="20"/>
                <w:szCs w:val="20"/>
              </w:rPr>
            </w:pPr>
            <w:r w:rsidRPr="008A36C9">
              <w:rPr>
                <w:sz w:val="20"/>
                <w:szCs w:val="20"/>
              </w:rPr>
              <w:t>2</w:t>
            </w:r>
          </w:p>
        </w:tc>
        <w:tc>
          <w:tcPr>
            <w:tcW w:w="3402" w:type="dxa"/>
            <w:gridSpan w:val="3"/>
            <w:tcBorders>
              <w:top w:val="single" w:sz="6" w:space="0" w:color="000000"/>
              <w:left w:val="single" w:sz="6" w:space="0" w:color="000000"/>
              <w:bottom w:val="single" w:sz="6" w:space="0" w:color="000000"/>
              <w:right w:val="single" w:sz="6" w:space="0" w:color="000000"/>
            </w:tcBorders>
          </w:tcPr>
          <w:p w14:paraId="18478ADB" w14:textId="77777777" w:rsidR="000F62FD" w:rsidRPr="008A36C9" w:rsidRDefault="000F62FD" w:rsidP="000F62FD">
            <w:pPr>
              <w:pStyle w:val="naisc"/>
              <w:spacing w:before="0" w:after="0"/>
              <w:ind w:firstLine="720"/>
              <w:rPr>
                <w:sz w:val="20"/>
                <w:szCs w:val="20"/>
              </w:rPr>
            </w:pPr>
            <w:r w:rsidRPr="008A36C9">
              <w:rPr>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14:paraId="0BA6BA85" w14:textId="77777777" w:rsidR="000F62FD" w:rsidRPr="008A36C9" w:rsidRDefault="000F62FD" w:rsidP="000F62FD">
            <w:pPr>
              <w:pStyle w:val="naisc"/>
              <w:spacing w:before="0" w:after="0"/>
              <w:ind w:firstLine="720"/>
              <w:rPr>
                <w:sz w:val="20"/>
                <w:szCs w:val="20"/>
              </w:rPr>
            </w:pPr>
            <w:r w:rsidRPr="008A36C9">
              <w:rPr>
                <w:sz w:val="20"/>
                <w:szCs w:val="20"/>
              </w:rPr>
              <w:t>4</w:t>
            </w:r>
          </w:p>
        </w:tc>
        <w:tc>
          <w:tcPr>
            <w:tcW w:w="2127" w:type="dxa"/>
            <w:gridSpan w:val="2"/>
            <w:tcBorders>
              <w:top w:val="single" w:sz="4" w:space="0" w:color="auto"/>
              <w:left w:val="single" w:sz="4" w:space="0" w:color="auto"/>
              <w:bottom w:val="single" w:sz="4" w:space="0" w:color="auto"/>
              <w:right w:val="single" w:sz="4" w:space="0" w:color="auto"/>
            </w:tcBorders>
          </w:tcPr>
          <w:p w14:paraId="164E3452" w14:textId="77777777" w:rsidR="000F62FD" w:rsidRPr="008A36C9" w:rsidRDefault="000F62FD" w:rsidP="000F62FD">
            <w:pPr>
              <w:jc w:val="center"/>
              <w:rPr>
                <w:sz w:val="20"/>
                <w:szCs w:val="20"/>
              </w:rPr>
            </w:pPr>
            <w:r w:rsidRPr="008A36C9">
              <w:rPr>
                <w:sz w:val="20"/>
                <w:szCs w:val="20"/>
              </w:rPr>
              <w:t>5</w:t>
            </w:r>
          </w:p>
        </w:tc>
        <w:tc>
          <w:tcPr>
            <w:tcW w:w="2860" w:type="dxa"/>
            <w:gridSpan w:val="3"/>
            <w:tcBorders>
              <w:top w:val="single" w:sz="4" w:space="0" w:color="auto"/>
              <w:left w:val="single" w:sz="4" w:space="0" w:color="auto"/>
              <w:bottom w:val="single" w:sz="4" w:space="0" w:color="auto"/>
            </w:tcBorders>
          </w:tcPr>
          <w:p w14:paraId="5139E383" w14:textId="77777777" w:rsidR="000F62FD" w:rsidRPr="008A36C9" w:rsidRDefault="000F62FD" w:rsidP="000F62FD">
            <w:pPr>
              <w:jc w:val="center"/>
              <w:rPr>
                <w:sz w:val="20"/>
                <w:szCs w:val="20"/>
              </w:rPr>
            </w:pPr>
            <w:r w:rsidRPr="008A36C9">
              <w:rPr>
                <w:sz w:val="20"/>
                <w:szCs w:val="20"/>
              </w:rPr>
              <w:t>6</w:t>
            </w:r>
          </w:p>
        </w:tc>
      </w:tr>
      <w:tr w:rsidR="003F3A93" w:rsidRPr="00FB036F" w14:paraId="7A1817E0" w14:textId="77777777" w:rsidTr="002456E7">
        <w:tc>
          <w:tcPr>
            <w:tcW w:w="797" w:type="dxa"/>
            <w:gridSpan w:val="2"/>
            <w:tcBorders>
              <w:top w:val="single" w:sz="6" w:space="0" w:color="000000"/>
              <w:left w:val="single" w:sz="6" w:space="0" w:color="000000"/>
              <w:bottom w:val="single" w:sz="6" w:space="0" w:color="000000"/>
              <w:right w:val="single" w:sz="6" w:space="0" w:color="000000"/>
            </w:tcBorders>
          </w:tcPr>
          <w:p w14:paraId="299207FC" w14:textId="11E7AFED" w:rsidR="003F3A93" w:rsidRPr="00FB036F" w:rsidRDefault="003A719E" w:rsidP="003F3A93">
            <w:pPr>
              <w:pStyle w:val="naisc"/>
              <w:spacing w:before="0" w:after="0"/>
              <w:ind w:left="446"/>
              <w:jc w:val="left"/>
            </w:pPr>
            <w:r>
              <w:t xml:space="preserve"> </w:t>
            </w:r>
          </w:p>
        </w:tc>
        <w:tc>
          <w:tcPr>
            <w:tcW w:w="2126" w:type="dxa"/>
            <w:tcBorders>
              <w:left w:val="single" w:sz="6" w:space="0" w:color="000000"/>
              <w:bottom w:val="single" w:sz="6" w:space="0" w:color="000000"/>
              <w:right w:val="single" w:sz="6" w:space="0" w:color="000000"/>
            </w:tcBorders>
          </w:tcPr>
          <w:p w14:paraId="2B90D049" w14:textId="77777777" w:rsidR="00E07825" w:rsidRDefault="00E07825" w:rsidP="00AC2552">
            <w:pPr>
              <w:rPr>
                <w:i/>
              </w:rPr>
            </w:pP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auto"/>
          </w:tcPr>
          <w:p w14:paraId="3209E7C1" w14:textId="4DC1E3BC" w:rsidR="003F3A93" w:rsidRPr="00AC02AE" w:rsidRDefault="003F3A93" w:rsidP="003F3A93">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5E4FA1E" w14:textId="3DBFC89D" w:rsidR="003F3A93" w:rsidRPr="003628B2" w:rsidRDefault="003F3A93" w:rsidP="00386C28">
            <w:pPr>
              <w:jc w:val="both"/>
            </w:pPr>
          </w:p>
        </w:tc>
        <w:tc>
          <w:tcPr>
            <w:tcW w:w="2127" w:type="dxa"/>
            <w:gridSpan w:val="2"/>
            <w:tcBorders>
              <w:left w:val="single" w:sz="4" w:space="0" w:color="auto"/>
              <w:bottom w:val="single" w:sz="4" w:space="0" w:color="auto"/>
              <w:right w:val="single" w:sz="4" w:space="0" w:color="auto"/>
            </w:tcBorders>
          </w:tcPr>
          <w:p w14:paraId="0C5C0D12" w14:textId="77777777" w:rsidR="003F3A93" w:rsidRPr="00A42E00" w:rsidRDefault="009A559B" w:rsidP="00192E17">
            <w:pPr>
              <w:jc w:val="both"/>
            </w:pPr>
            <w:r>
              <w:t xml:space="preserve"> </w:t>
            </w:r>
          </w:p>
        </w:tc>
        <w:tc>
          <w:tcPr>
            <w:tcW w:w="2860" w:type="dxa"/>
            <w:gridSpan w:val="3"/>
            <w:tcBorders>
              <w:left w:val="single" w:sz="4" w:space="0" w:color="auto"/>
              <w:bottom w:val="single" w:sz="4" w:space="0" w:color="auto"/>
            </w:tcBorders>
          </w:tcPr>
          <w:p w14:paraId="1118A900" w14:textId="4801A0A4" w:rsidR="003F3A93" w:rsidRPr="006D152F" w:rsidRDefault="003F3A93" w:rsidP="006D152F">
            <w:pPr>
              <w:ind w:firstLine="426"/>
              <w:jc w:val="both"/>
              <w:rPr>
                <w:sz w:val="28"/>
                <w:szCs w:val="28"/>
              </w:rPr>
            </w:pPr>
          </w:p>
        </w:tc>
      </w:tr>
      <w:tr w:rsidR="003F3A93" w:rsidRPr="00FB036F" w14:paraId="77F6BF1A" w14:textId="77777777" w:rsidTr="00386C28">
        <w:tblPrEx>
          <w:tblBorders>
            <w:top w:val="none" w:sz="0" w:space="0" w:color="auto"/>
            <w:left w:val="none" w:sz="0" w:space="0" w:color="auto"/>
            <w:bottom w:val="none" w:sz="0" w:space="0" w:color="auto"/>
            <w:right w:val="none" w:sz="0" w:space="0" w:color="auto"/>
          </w:tblBorders>
        </w:tblPrEx>
        <w:trPr>
          <w:gridAfter w:val="1"/>
          <w:wAfter w:w="27" w:type="dxa"/>
        </w:trPr>
        <w:tc>
          <w:tcPr>
            <w:tcW w:w="3133" w:type="dxa"/>
            <w:gridSpan w:val="4"/>
          </w:tcPr>
          <w:p w14:paraId="0958D308" w14:textId="77777777" w:rsidR="003F3A93" w:rsidRPr="00FB036F" w:rsidRDefault="003F3A93" w:rsidP="003F3A93">
            <w:pPr>
              <w:pStyle w:val="naiskr"/>
              <w:spacing w:before="0" w:after="0"/>
              <w:jc w:val="center"/>
            </w:pPr>
          </w:p>
        </w:tc>
        <w:tc>
          <w:tcPr>
            <w:tcW w:w="6093" w:type="dxa"/>
            <w:gridSpan w:val="4"/>
          </w:tcPr>
          <w:p w14:paraId="2FA487B0" w14:textId="77777777" w:rsidR="003F3A93" w:rsidRPr="00FB036F" w:rsidRDefault="003F3A93" w:rsidP="003F3A93">
            <w:pPr>
              <w:pStyle w:val="naiskr"/>
              <w:spacing w:before="0" w:after="0"/>
              <w:jc w:val="center"/>
            </w:pPr>
          </w:p>
        </w:tc>
        <w:tc>
          <w:tcPr>
            <w:tcW w:w="2617" w:type="dxa"/>
            <w:gridSpan w:val="2"/>
          </w:tcPr>
          <w:p w14:paraId="55F6441A" w14:textId="77777777" w:rsidR="003F3A93" w:rsidRPr="00FB036F" w:rsidRDefault="003F3A93" w:rsidP="003F3A93"/>
        </w:tc>
        <w:tc>
          <w:tcPr>
            <w:tcW w:w="2277" w:type="dxa"/>
          </w:tcPr>
          <w:p w14:paraId="639F7920" w14:textId="77777777" w:rsidR="003F3A93" w:rsidRPr="00FB036F" w:rsidRDefault="003F3A93" w:rsidP="003F3A93"/>
        </w:tc>
      </w:tr>
      <w:tr w:rsidR="003F3A93" w:rsidRPr="00192E17" w14:paraId="07884AF4" w14:textId="77777777" w:rsidTr="00386C28">
        <w:tblPrEx>
          <w:tblBorders>
            <w:top w:val="none" w:sz="0" w:space="0" w:color="auto"/>
            <w:left w:val="none" w:sz="0" w:space="0" w:color="auto"/>
            <w:bottom w:val="none" w:sz="0" w:space="0" w:color="auto"/>
            <w:right w:val="none" w:sz="0" w:space="0" w:color="auto"/>
          </w:tblBorders>
        </w:tblPrEx>
        <w:trPr>
          <w:gridBefore w:val="1"/>
          <w:gridAfter w:val="3"/>
          <w:wBefore w:w="88" w:type="dxa"/>
          <w:wAfter w:w="2860" w:type="dxa"/>
        </w:trPr>
        <w:tc>
          <w:tcPr>
            <w:tcW w:w="4219" w:type="dxa"/>
            <w:gridSpan w:val="4"/>
          </w:tcPr>
          <w:p w14:paraId="500E39A9" w14:textId="77777777" w:rsidR="003F3A93" w:rsidRPr="00192E17" w:rsidRDefault="003F3A93" w:rsidP="003F3A93">
            <w:pPr>
              <w:pStyle w:val="naisf"/>
              <w:spacing w:before="0" w:after="0"/>
              <w:ind w:firstLine="0"/>
            </w:pPr>
            <w:r w:rsidRPr="00192E17">
              <w:t xml:space="preserve">Saskaņošanas sanāksme: </w:t>
            </w:r>
          </w:p>
        </w:tc>
        <w:tc>
          <w:tcPr>
            <w:tcW w:w="6980" w:type="dxa"/>
            <w:gridSpan w:val="4"/>
          </w:tcPr>
          <w:p w14:paraId="4CC6F3EB" w14:textId="77777777" w:rsidR="003F3A93" w:rsidRPr="00192E17" w:rsidRDefault="003F3A93" w:rsidP="003F3A93">
            <w:pPr>
              <w:pStyle w:val="NormalWeb"/>
              <w:spacing w:before="0" w:beforeAutospacing="0" w:after="0" w:afterAutospacing="0"/>
            </w:pPr>
          </w:p>
        </w:tc>
      </w:tr>
      <w:tr w:rsidR="003F3A93" w:rsidRPr="00192E17" w14:paraId="757FB0C3" w14:textId="77777777" w:rsidTr="00386C28">
        <w:tblPrEx>
          <w:tblBorders>
            <w:top w:val="none" w:sz="0" w:space="0" w:color="auto"/>
            <w:left w:val="none" w:sz="0" w:space="0" w:color="auto"/>
            <w:bottom w:val="none" w:sz="0" w:space="0" w:color="auto"/>
            <w:right w:val="none" w:sz="0" w:space="0" w:color="auto"/>
          </w:tblBorders>
        </w:tblPrEx>
        <w:trPr>
          <w:gridBefore w:val="1"/>
          <w:gridAfter w:val="3"/>
          <w:wBefore w:w="88" w:type="dxa"/>
          <w:wAfter w:w="2860" w:type="dxa"/>
        </w:trPr>
        <w:tc>
          <w:tcPr>
            <w:tcW w:w="4219" w:type="dxa"/>
            <w:gridSpan w:val="4"/>
          </w:tcPr>
          <w:p w14:paraId="12B0182F" w14:textId="77777777" w:rsidR="003F3A93" w:rsidRPr="00192E17" w:rsidRDefault="003F3A93" w:rsidP="003F3A93">
            <w:pPr>
              <w:pStyle w:val="naisf"/>
              <w:spacing w:before="0" w:after="0"/>
              <w:ind w:firstLine="0"/>
            </w:pPr>
          </w:p>
        </w:tc>
        <w:tc>
          <w:tcPr>
            <w:tcW w:w="6980" w:type="dxa"/>
            <w:gridSpan w:val="4"/>
          </w:tcPr>
          <w:p w14:paraId="089C76A1" w14:textId="77777777" w:rsidR="003F3A93" w:rsidRPr="00192E17" w:rsidRDefault="003F3A93" w:rsidP="003F3A93">
            <w:pPr>
              <w:pStyle w:val="NormalWeb"/>
              <w:spacing w:before="0" w:beforeAutospacing="0" w:after="0" w:afterAutospacing="0"/>
            </w:pPr>
          </w:p>
        </w:tc>
      </w:tr>
      <w:tr w:rsidR="003F3A93" w:rsidRPr="00192E17" w14:paraId="728A69EB" w14:textId="77777777" w:rsidTr="00386C28">
        <w:tblPrEx>
          <w:tblBorders>
            <w:top w:val="none" w:sz="0" w:space="0" w:color="auto"/>
            <w:left w:val="none" w:sz="0" w:space="0" w:color="auto"/>
            <w:bottom w:val="none" w:sz="0" w:space="0" w:color="auto"/>
            <w:right w:val="none" w:sz="0" w:space="0" w:color="auto"/>
          </w:tblBorders>
        </w:tblPrEx>
        <w:trPr>
          <w:gridBefore w:val="1"/>
          <w:gridAfter w:val="3"/>
          <w:wBefore w:w="88" w:type="dxa"/>
          <w:wAfter w:w="2860" w:type="dxa"/>
        </w:trPr>
        <w:tc>
          <w:tcPr>
            <w:tcW w:w="4219" w:type="dxa"/>
            <w:gridSpan w:val="4"/>
          </w:tcPr>
          <w:p w14:paraId="3EAD2479" w14:textId="77777777" w:rsidR="003F3A93" w:rsidRPr="00192E17" w:rsidRDefault="003F3A93" w:rsidP="003F3A93">
            <w:pPr>
              <w:pStyle w:val="naiskr"/>
              <w:spacing w:before="0" w:after="0"/>
            </w:pPr>
            <w:r w:rsidRPr="00192E17">
              <w:t>Saskaņošanas dalībnieki</w:t>
            </w:r>
          </w:p>
        </w:tc>
        <w:tc>
          <w:tcPr>
            <w:tcW w:w="6980" w:type="dxa"/>
            <w:gridSpan w:val="4"/>
          </w:tcPr>
          <w:p w14:paraId="135D04B6" w14:textId="47827F90" w:rsidR="003F3A93" w:rsidRPr="00192E17" w:rsidRDefault="00C61D57" w:rsidP="00C61D57">
            <w:pPr>
              <w:pStyle w:val="NormalWeb"/>
              <w:spacing w:before="0" w:beforeAutospacing="0" w:after="0" w:afterAutospacing="0"/>
              <w:jc w:val="both"/>
            </w:pPr>
            <w:r w:rsidRPr="00192E17">
              <w:t>Finanšu ministrija</w:t>
            </w:r>
            <w:r>
              <w:t xml:space="preserve">, Tieslietu ministrija, Veselības ministrija, Labklājības ministrija, </w:t>
            </w:r>
            <w:proofErr w:type="spellStart"/>
            <w:r>
              <w:t>Pārresoru</w:t>
            </w:r>
            <w:proofErr w:type="spellEnd"/>
            <w:r>
              <w:t xml:space="preserve"> koordinācijas centrs, Latvijas studentu apvienība, Latvijas Pašvaldību savienība, </w:t>
            </w:r>
            <w:r w:rsidRPr="00616279">
              <w:rPr>
                <w:shd w:val="clear" w:color="auto" w:fill="FFFFFF"/>
              </w:rPr>
              <w:t>Veselības un darbspēju ekspertīzes ārstu valsts komisij</w:t>
            </w:r>
            <w:r>
              <w:rPr>
                <w:shd w:val="clear" w:color="auto" w:fill="FFFFFF"/>
              </w:rPr>
              <w:t>a</w:t>
            </w:r>
            <w:r>
              <w:t xml:space="preserve">, Nodibinājums </w:t>
            </w:r>
            <w:r w:rsidRPr="00083F38">
              <w:t>Invalīdu un viņu draugu apvienība “Apeirons”</w:t>
            </w:r>
          </w:p>
        </w:tc>
      </w:tr>
      <w:tr w:rsidR="003F3A93" w:rsidRPr="00192E17" w14:paraId="0B2FA582" w14:textId="77777777" w:rsidTr="00386C28">
        <w:tblPrEx>
          <w:tblBorders>
            <w:top w:val="none" w:sz="0" w:space="0" w:color="auto"/>
            <w:left w:val="none" w:sz="0" w:space="0" w:color="auto"/>
            <w:bottom w:val="none" w:sz="0" w:space="0" w:color="auto"/>
            <w:right w:val="none" w:sz="0" w:space="0" w:color="auto"/>
          </w:tblBorders>
        </w:tblPrEx>
        <w:trPr>
          <w:gridBefore w:val="1"/>
          <w:gridAfter w:val="3"/>
          <w:wBefore w:w="88" w:type="dxa"/>
          <w:wAfter w:w="2860" w:type="dxa"/>
        </w:trPr>
        <w:tc>
          <w:tcPr>
            <w:tcW w:w="4219" w:type="dxa"/>
            <w:gridSpan w:val="4"/>
          </w:tcPr>
          <w:p w14:paraId="430E583A" w14:textId="77777777" w:rsidR="003F3A93" w:rsidRPr="00192E17" w:rsidRDefault="003F3A93" w:rsidP="003F3A93">
            <w:pPr>
              <w:pStyle w:val="naiskr"/>
              <w:spacing w:before="0" w:after="0"/>
              <w:ind w:firstLine="720"/>
            </w:pPr>
          </w:p>
        </w:tc>
        <w:tc>
          <w:tcPr>
            <w:tcW w:w="6980" w:type="dxa"/>
            <w:gridSpan w:val="4"/>
            <w:tcBorders>
              <w:top w:val="single" w:sz="6" w:space="0" w:color="000000"/>
              <w:bottom w:val="single" w:sz="6" w:space="0" w:color="000000"/>
            </w:tcBorders>
          </w:tcPr>
          <w:p w14:paraId="185B8CA7" w14:textId="77777777" w:rsidR="003F3A93" w:rsidRPr="00192E17" w:rsidRDefault="003F3A93" w:rsidP="003F3A93">
            <w:pPr>
              <w:pStyle w:val="naiskr"/>
              <w:spacing w:before="0" w:after="0"/>
              <w:jc w:val="both"/>
            </w:pPr>
          </w:p>
        </w:tc>
      </w:tr>
      <w:tr w:rsidR="003F3A93" w:rsidRPr="00192E17" w14:paraId="5C034BE3" w14:textId="77777777" w:rsidTr="00386C28">
        <w:tblPrEx>
          <w:tblBorders>
            <w:top w:val="none" w:sz="0" w:space="0" w:color="auto"/>
            <w:left w:val="none" w:sz="0" w:space="0" w:color="auto"/>
            <w:bottom w:val="none" w:sz="0" w:space="0" w:color="auto"/>
            <w:right w:val="none" w:sz="0" w:space="0" w:color="auto"/>
          </w:tblBorders>
        </w:tblPrEx>
        <w:trPr>
          <w:gridBefore w:val="1"/>
          <w:gridAfter w:val="3"/>
          <w:wBefore w:w="88" w:type="dxa"/>
          <w:wAfter w:w="2860" w:type="dxa"/>
        </w:trPr>
        <w:tc>
          <w:tcPr>
            <w:tcW w:w="4219" w:type="dxa"/>
            <w:gridSpan w:val="4"/>
          </w:tcPr>
          <w:p w14:paraId="3DED209A" w14:textId="77777777" w:rsidR="003F3A93" w:rsidRPr="00192E17" w:rsidRDefault="003F3A93" w:rsidP="003F3A93">
            <w:pPr>
              <w:pStyle w:val="naiskr"/>
              <w:spacing w:before="0" w:after="0"/>
              <w:ind w:firstLine="720"/>
            </w:pPr>
          </w:p>
        </w:tc>
        <w:tc>
          <w:tcPr>
            <w:tcW w:w="6980" w:type="dxa"/>
            <w:gridSpan w:val="4"/>
            <w:tcBorders>
              <w:top w:val="single" w:sz="6" w:space="0" w:color="000000"/>
              <w:bottom w:val="single" w:sz="6" w:space="0" w:color="000000"/>
            </w:tcBorders>
          </w:tcPr>
          <w:p w14:paraId="4D088C83" w14:textId="77777777" w:rsidR="003F3A93" w:rsidRPr="00192E17" w:rsidRDefault="003F3A93" w:rsidP="003F3A93">
            <w:pPr>
              <w:pStyle w:val="naiskr"/>
              <w:spacing w:before="0" w:after="0"/>
              <w:jc w:val="both"/>
            </w:pPr>
          </w:p>
        </w:tc>
      </w:tr>
      <w:tr w:rsidR="003F3A93" w:rsidRPr="00192E17" w14:paraId="7A4DA185" w14:textId="77777777" w:rsidTr="00386C28">
        <w:tblPrEx>
          <w:tblBorders>
            <w:top w:val="none" w:sz="0" w:space="0" w:color="auto"/>
            <w:left w:val="none" w:sz="0" w:space="0" w:color="auto"/>
            <w:bottom w:val="none" w:sz="0" w:space="0" w:color="auto"/>
            <w:right w:val="none" w:sz="0" w:space="0" w:color="auto"/>
          </w:tblBorders>
        </w:tblPrEx>
        <w:trPr>
          <w:gridBefore w:val="1"/>
          <w:gridAfter w:val="3"/>
          <w:wBefore w:w="88" w:type="dxa"/>
          <w:wAfter w:w="2860" w:type="dxa"/>
        </w:trPr>
        <w:tc>
          <w:tcPr>
            <w:tcW w:w="4219" w:type="dxa"/>
            <w:gridSpan w:val="4"/>
          </w:tcPr>
          <w:p w14:paraId="05833C8E" w14:textId="77777777" w:rsidR="003F3A93" w:rsidRPr="00192E17" w:rsidRDefault="003F3A93" w:rsidP="003F3A93">
            <w:pPr>
              <w:pStyle w:val="naiskr"/>
              <w:spacing w:before="0" w:after="0"/>
              <w:ind w:firstLine="720"/>
            </w:pPr>
          </w:p>
        </w:tc>
        <w:tc>
          <w:tcPr>
            <w:tcW w:w="6980" w:type="dxa"/>
            <w:gridSpan w:val="4"/>
            <w:tcBorders>
              <w:top w:val="single" w:sz="6" w:space="0" w:color="000000"/>
              <w:bottom w:val="single" w:sz="6" w:space="0" w:color="000000"/>
            </w:tcBorders>
          </w:tcPr>
          <w:p w14:paraId="16B6B515" w14:textId="77777777" w:rsidR="003F3A93" w:rsidRPr="00192E17" w:rsidRDefault="003F3A93" w:rsidP="003F3A93">
            <w:pPr>
              <w:pStyle w:val="naiskr"/>
              <w:spacing w:before="0" w:after="0"/>
              <w:jc w:val="both"/>
            </w:pPr>
          </w:p>
        </w:tc>
      </w:tr>
    </w:tbl>
    <w:p w14:paraId="0F3A62AE" w14:textId="77777777" w:rsidR="00FB68BD" w:rsidRPr="00192E17" w:rsidRDefault="00FB68BD" w:rsidP="00FB68BD"/>
    <w:tbl>
      <w:tblPr>
        <w:tblW w:w="22539" w:type="dxa"/>
        <w:tblLook w:val="00A0" w:firstRow="1" w:lastRow="0" w:firstColumn="1" w:lastColumn="0" w:noHBand="0" w:noVBand="0"/>
      </w:tblPr>
      <w:tblGrid>
        <w:gridCol w:w="14175"/>
        <w:gridCol w:w="236"/>
        <w:gridCol w:w="8128"/>
      </w:tblGrid>
      <w:tr w:rsidR="00FB036F" w:rsidRPr="00FB036F" w14:paraId="1244158C" w14:textId="77777777" w:rsidTr="005919A5">
        <w:trPr>
          <w:trHeight w:val="285"/>
        </w:trPr>
        <w:tc>
          <w:tcPr>
            <w:tcW w:w="14175" w:type="dxa"/>
          </w:tcPr>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44472B" w:rsidRPr="00D9524B" w14:paraId="0A09AF2A" w14:textId="77777777" w:rsidTr="001801C2">
              <w:trPr>
                <w:trHeight w:val="285"/>
              </w:trPr>
              <w:tc>
                <w:tcPr>
                  <w:tcW w:w="6345" w:type="dxa"/>
                </w:tcPr>
                <w:p w14:paraId="4DE86E53" w14:textId="77777777" w:rsidR="0044472B" w:rsidRPr="00D9524B" w:rsidRDefault="0044472B" w:rsidP="0044472B">
                  <w:pPr>
                    <w:pStyle w:val="naisf"/>
                    <w:ind w:firstLine="284"/>
                  </w:pPr>
                  <w:r w:rsidRPr="00192E17">
                    <w:t>Saskaņošanas dalībnieki izskatīja šādu ministriju (citu institūciju) iebildumus</w:t>
                  </w:r>
                </w:p>
              </w:tc>
              <w:tc>
                <w:tcPr>
                  <w:tcW w:w="6237" w:type="dxa"/>
                  <w:tcBorders>
                    <w:bottom w:val="single" w:sz="4" w:space="0" w:color="auto"/>
                  </w:tcBorders>
                </w:tcPr>
                <w:p w14:paraId="68DD3A12" w14:textId="74649E30" w:rsidR="0044472B" w:rsidRPr="00D9524B" w:rsidRDefault="00893DAE" w:rsidP="0044472B">
                  <w:pPr>
                    <w:pStyle w:val="naisf"/>
                    <w:ind w:firstLine="0"/>
                  </w:pPr>
                  <w:r w:rsidRPr="00192E17">
                    <w:t>Finanšu ministrija</w:t>
                  </w:r>
                  <w:r>
                    <w:t xml:space="preserve">s, Veselības ministrijas, Labklājības ministrijas, </w:t>
                  </w:r>
                  <w:proofErr w:type="spellStart"/>
                  <w:r>
                    <w:t>Pārresoru</w:t>
                  </w:r>
                  <w:proofErr w:type="spellEnd"/>
                  <w:r>
                    <w:t xml:space="preserve"> koordinācijas centra</w:t>
                  </w:r>
                  <w:r w:rsidR="00C61D57">
                    <w:t>, Latvijas Pašvaldību savienības</w:t>
                  </w:r>
                </w:p>
              </w:tc>
            </w:tr>
          </w:tbl>
          <w:p w14:paraId="3091A3F1" w14:textId="77777777" w:rsidR="00FB68BD" w:rsidRPr="00FB036F" w:rsidRDefault="00FB68BD" w:rsidP="005F5C7A">
            <w:pPr>
              <w:pStyle w:val="naiskr"/>
              <w:spacing w:before="0" w:after="0"/>
            </w:pPr>
          </w:p>
        </w:tc>
        <w:tc>
          <w:tcPr>
            <w:tcW w:w="236" w:type="dxa"/>
          </w:tcPr>
          <w:p w14:paraId="5E4B2B8A" w14:textId="77777777" w:rsidR="00FB68BD" w:rsidRPr="00FB036F" w:rsidRDefault="00FB68BD" w:rsidP="00EC4985">
            <w:pPr>
              <w:pStyle w:val="naiskr"/>
              <w:spacing w:before="0" w:after="0"/>
              <w:ind w:firstLine="720"/>
            </w:pPr>
          </w:p>
        </w:tc>
        <w:tc>
          <w:tcPr>
            <w:tcW w:w="8128" w:type="dxa"/>
          </w:tcPr>
          <w:p w14:paraId="04D248EB" w14:textId="77777777" w:rsidR="00FB68BD" w:rsidRPr="00FB036F" w:rsidRDefault="00FB68BD" w:rsidP="005F36EA">
            <w:pPr>
              <w:pStyle w:val="naiskr"/>
              <w:spacing w:before="0" w:after="0"/>
            </w:pPr>
          </w:p>
        </w:tc>
      </w:tr>
      <w:tr w:rsidR="00FB036F" w:rsidRPr="00FB036F" w14:paraId="3DFF7251" w14:textId="77777777" w:rsidTr="005919A5">
        <w:trPr>
          <w:trHeight w:val="465"/>
        </w:trPr>
        <w:tc>
          <w:tcPr>
            <w:tcW w:w="22539" w:type="dxa"/>
            <w:gridSpan w:val="3"/>
          </w:tcPr>
          <w:p w14:paraId="58FB5BD9" w14:textId="77777777" w:rsidR="00FB68BD" w:rsidRPr="00FB036F" w:rsidRDefault="00FB68BD" w:rsidP="00EC4985">
            <w:pPr>
              <w:pStyle w:val="naisc"/>
              <w:spacing w:before="0" w:after="0"/>
              <w:ind w:left="4820" w:firstLine="720"/>
            </w:pPr>
          </w:p>
        </w:tc>
      </w:tr>
      <w:tr w:rsidR="00FB68BD" w:rsidRPr="00FB036F" w14:paraId="5B182C88" w14:textId="77777777" w:rsidTr="005919A5">
        <w:tc>
          <w:tcPr>
            <w:tcW w:w="14175" w:type="dxa"/>
          </w:tcPr>
          <w:p w14:paraId="0BD16924" w14:textId="77777777" w:rsidR="00FB68BD" w:rsidRPr="00FB036F" w:rsidRDefault="00FB68BD" w:rsidP="00EC4985">
            <w:pPr>
              <w:pStyle w:val="naiskr"/>
              <w:spacing w:before="0" w:after="0"/>
            </w:pPr>
          </w:p>
        </w:tc>
        <w:tc>
          <w:tcPr>
            <w:tcW w:w="8364" w:type="dxa"/>
            <w:gridSpan w:val="2"/>
          </w:tcPr>
          <w:p w14:paraId="7BBB4A23" w14:textId="77777777" w:rsidR="00FB68BD" w:rsidRPr="00FB036F" w:rsidRDefault="00FB68BD" w:rsidP="00B14537">
            <w:pPr>
              <w:pStyle w:val="naiskr"/>
              <w:spacing w:before="0" w:after="0"/>
              <w:jc w:val="center"/>
              <w:rPr>
                <w:highlight w:val="yellow"/>
              </w:rPr>
            </w:pPr>
          </w:p>
        </w:tc>
      </w:tr>
    </w:tbl>
    <w:tbl>
      <w:tblPr>
        <w:tblpPr w:leftFromText="180" w:rightFromText="180" w:vertAnchor="text" w:tblpY="1"/>
        <w:tblOverlap w:val="never"/>
        <w:tblW w:w="12582" w:type="dxa"/>
        <w:tblLook w:val="00A0" w:firstRow="1" w:lastRow="0" w:firstColumn="1" w:lastColumn="0" w:noHBand="0" w:noVBand="0"/>
      </w:tblPr>
      <w:tblGrid>
        <w:gridCol w:w="6345"/>
        <w:gridCol w:w="6237"/>
      </w:tblGrid>
      <w:tr w:rsidR="0044472B" w:rsidRPr="0044472B" w14:paraId="78CFDB66" w14:textId="77777777" w:rsidTr="0044472B">
        <w:tc>
          <w:tcPr>
            <w:tcW w:w="6345" w:type="dxa"/>
          </w:tcPr>
          <w:p w14:paraId="49713526" w14:textId="77777777" w:rsidR="0044472B" w:rsidRPr="0044472B" w:rsidRDefault="0044472B" w:rsidP="0044472B">
            <w:pPr>
              <w:spacing w:before="75" w:after="75"/>
              <w:ind w:firstLine="284"/>
              <w:jc w:val="both"/>
            </w:pPr>
            <w:r w:rsidRPr="0044472B">
              <w:lastRenderedPageBreak/>
              <w:t>Ministrijas (citas institūcijas), kuras nav ieradušās uz sanāksmi vai kuras nav atbildējušas uz uzaicinājumu piedalīties elektroniskajā saskaņošanā</w:t>
            </w:r>
          </w:p>
        </w:tc>
        <w:tc>
          <w:tcPr>
            <w:tcW w:w="6237" w:type="dxa"/>
            <w:tcBorders>
              <w:top w:val="single" w:sz="6" w:space="0" w:color="000000"/>
              <w:bottom w:val="single" w:sz="6" w:space="0" w:color="000000"/>
            </w:tcBorders>
          </w:tcPr>
          <w:p w14:paraId="1710C12F" w14:textId="77777777" w:rsidR="0044472B" w:rsidRPr="0044472B" w:rsidRDefault="0044472B" w:rsidP="0044472B">
            <w:pPr>
              <w:spacing w:before="75" w:after="75"/>
              <w:jc w:val="both"/>
            </w:pPr>
          </w:p>
        </w:tc>
      </w:tr>
    </w:tbl>
    <w:p w14:paraId="5920C227" w14:textId="77777777" w:rsidR="002900AB" w:rsidRDefault="002900AB" w:rsidP="005F5C7A">
      <w:pPr>
        <w:pStyle w:val="naisf"/>
        <w:spacing w:before="0" w:after="0"/>
        <w:ind w:firstLine="0"/>
        <w:jc w:val="center"/>
        <w:rPr>
          <w:rFonts w:eastAsia="SimSun"/>
          <w:lang w:eastAsia="zh-CN" w:bidi="he-IL"/>
        </w:rPr>
      </w:pPr>
    </w:p>
    <w:p w14:paraId="58C533CC" w14:textId="77777777" w:rsidR="001801C2" w:rsidRDefault="001801C2" w:rsidP="005F5C7A">
      <w:pPr>
        <w:pStyle w:val="naisf"/>
        <w:spacing w:before="0" w:after="0"/>
        <w:ind w:firstLine="0"/>
        <w:jc w:val="center"/>
        <w:rPr>
          <w:rFonts w:eastAsia="SimSun"/>
          <w:lang w:eastAsia="zh-CN" w:bidi="he-IL"/>
        </w:rPr>
      </w:pPr>
    </w:p>
    <w:p w14:paraId="20610CF3" w14:textId="77777777" w:rsidR="001801C2" w:rsidRDefault="001801C2" w:rsidP="005F5C7A">
      <w:pPr>
        <w:pStyle w:val="naisf"/>
        <w:spacing w:before="0" w:after="0"/>
        <w:ind w:firstLine="0"/>
        <w:jc w:val="center"/>
        <w:rPr>
          <w:rFonts w:eastAsia="SimSun"/>
          <w:lang w:eastAsia="zh-CN" w:bidi="he-IL"/>
        </w:rPr>
      </w:pPr>
    </w:p>
    <w:p w14:paraId="463A9913" w14:textId="77777777" w:rsidR="001801C2" w:rsidRDefault="001801C2" w:rsidP="005F5C7A">
      <w:pPr>
        <w:pStyle w:val="naisf"/>
        <w:spacing w:before="0" w:after="0"/>
        <w:ind w:firstLine="0"/>
        <w:jc w:val="center"/>
        <w:rPr>
          <w:rFonts w:eastAsia="SimSun"/>
          <w:lang w:eastAsia="zh-CN" w:bidi="he-IL"/>
        </w:rPr>
      </w:pPr>
    </w:p>
    <w:p w14:paraId="510F3CBA" w14:textId="77777777" w:rsidR="007113DF" w:rsidRDefault="007113DF" w:rsidP="001801C2">
      <w:pPr>
        <w:jc w:val="center"/>
        <w:rPr>
          <w:b/>
        </w:rPr>
      </w:pPr>
    </w:p>
    <w:p w14:paraId="509988B5" w14:textId="77777777" w:rsidR="001801C2" w:rsidRPr="001801C2" w:rsidRDefault="001801C2" w:rsidP="001801C2">
      <w:pPr>
        <w:jc w:val="center"/>
        <w:rPr>
          <w:b/>
        </w:rPr>
      </w:pPr>
      <w:r w:rsidRPr="001801C2">
        <w:rPr>
          <w:b/>
        </w:rPr>
        <w:t>II. Jautājumi, par kuriem saskaņošanā vienošanās ir panākta</w:t>
      </w:r>
    </w:p>
    <w:p w14:paraId="2D1E5921" w14:textId="77777777" w:rsidR="001801C2" w:rsidRPr="001801C2" w:rsidRDefault="001801C2" w:rsidP="001801C2">
      <w:pPr>
        <w:jc w:val="both"/>
      </w:pPr>
    </w:p>
    <w:tbl>
      <w:tblPr>
        <w:tblW w:w="14283" w:type="dxa"/>
        <w:tblInd w:w="-10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4"/>
        <w:gridCol w:w="843"/>
        <w:gridCol w:w="3260"/>
        <w:gridCol w:w="1162"/>
        <w:gridCol w:w="2665"/>
        <w:gridCol w:w="2977"/>
        <w:gridCol w:w="3272"/>
      </w:tblGrid>
      <w:tr w:rsidR="001801C2" w:rsidRPr="001801C2" w14:paraId="77B4A9A4"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vAlign w:val="center"/>
          </w:tcPr>
          <w:p w14:paraId="004E0482" w14:textId="77777777" w:rsidR="001801C2" w:rsidRPr="001801C2" w:rsidRDefault="001801C2" w:rsidP="001801C2">
            <w:pPr>
              <w:jc w:val="center"/>
            </w:pPr>
            <w:r w:rsidRPr="001801C2">
              <w:t>Nr. p.k.</w:t>
            </w:r>
          </w:p>
        </w:tc>
        <w:tc>
          <w:tcPr>
            <w:tcW w:w="3260" w:type="dxa"/>
            <w:tcBorders>
              <w:top w:val="single" w:sz="6" w:space="0" w:color="000000"/>
              <w:left w:val="single" w:sz="6" w:space="0" w:color="000000"/>
              <w:bottom w:val="single" w:sz="6" w:space="0" w:color="000000"/>
              <w:right w:val="single" w:sz="6" w:space="0" w:color="000000"/>
            </w:tcBorders>
            <w:vAlign w:val="center"/>
          </w:tcPr>
          <w:p w14:paraId="4C0FA792" w14:textId="77777777" w:rsidR="001801C2" w:rsidRPr="001801C2" w:rsidRDefault="001801C2" w:rsidP="001801C2">
            <w:pPr>
              <w:jc w:val="center"/>
            </w:pPr>
            <w:r w:rsidRPr="001801C2">
              <w:t>Saskaņošanai nosūtītā projekta redakcija (konkrēta punkta (panta) redakcija)</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14:paraId="0F9C7CA9" w14:textId="77777777" w:rsidR="001801C2" w:rsidRPr="001801C2" w:rsidRDefault="001801C2" w:rsidP="001801C2">
            <w:pPr>
              <w:ind w:right="3"/>
              <w:jc w:val="center"/>
            </w:pPr>
            <w:r w:rsidRPr="001801C2">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167217C" w14:textId="77777777" w:rsidR="001801C2" w:rsidRPr="001801C2" w:rsidRDefault="001801C2" w:rsidP="001801C2">
            <w:pPr>
              <w:jc w:val="center"/>
            </w:pPr>
            <w:r w:rsidRPr="001801C2">
              <w:t>Atbildīgās ministrijas norāde par to, ka iebildums ir ņemts vērā, vai informācija par saskaņošanā panākto alternatīvo risinājumu</w:t>
            </w:r>
          </w:p>
        </w:tc>
        <w:tc>
          <w:tcPr>
            <w:tcW w:w="3272" w:type="dxa"/>
            <w:tcBorders>
              <w:top w:val="single" w:sz="4" w:space="0" w:color="auto"/>
              <w:left w:val="single" w:sz="4" w:space="0" w:color="auto"/>
              <w:bottom w:val="single" w:sz="4" w:space="0" w:color="auto"/>
            </w:tcBorders>
            <w:vAlign w:val="center"/>
          </w:tcPr>
          <w:p w14:paraId="6C7C4D76" w14:textId="77777777" w:rsidR="001801C2" w:rsidRPr="001801C2" w:rsidRDefault="001801C2" w:rsidP="001801C2">
            <w:pPr>
              <w:jc w:val="center"/>
            </w:pPr>
            <w:r w:rsidRPr="001801C2">
              <w:t>Projekta attiecīgā punkta (panta) galīgā redakcija</w:t>
            </w:r>
          </w:p>
        </w:tc>
      </w:tr>
      <w:tr w:rsidR="001801C2" w:rsidRPr="001801C2" w14:paraId="7B38EC34"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68DCF508" w14:textId="77777777" w:rsidR="001801C2" w:rsidRPr="001801C2" w:rsidRDefault="001801C2" w:rsidP="001801C2">
            <w:pPr>
              <w:jc w:val="center"/>
            </w:pPr>
            <w:r w:rsidRPr="001801C2">
              <w:t>1</w:t>
            </w:r>
          </w:p>
        </w:tc>
        <w:tc>
          <w:tcPr>
            <w:tcW w:w="3260" w:type="dxa"/>
            <w:tcBorders>
              <w:top w:val="single" w:sz="6" w:space="0" w:color="000000"/>
              <w:left w:val="single" w:sz="6" w:space="0" w:color="000000"/>
              <w:bottom w:val="single" w:sz="6" w:space="0" w:color="000000"/>
              <w:right w:val="single" w:sz="6" w:space="0" w:color="000000"/>
            </w:tcBorders>
          </w:tcPr>
          <w:p w14:paraId="7FB128DE" w14:textId="77777777" w:rsidR="001801C2" w:rsidRPr="001801C2" w:rsidRDefault="001801C2" w:rsidP="001801C2">
            <w:pPr>
              <w:jc w:val="center"/>
            </w:pPr>
            <w:r w:rsidRPr="001801C2">
              <w:t>2</w:t>
            </w:r>
          </w:p>
        </w:tc>
        <w:tc>
          <w:tcPr>
            <w:tcW w:w="3827" w:type="dxa"/>
            <w:gridSpan w:val="2"/>
            <w:tcBorders>
              <w:top w:val="single" w:sz="6" w:space="0" w:color="000000"/>
              <w:left w:val="single" w:sz="6" w:space="0" w:color="000000"/>
              <w:bottom w:val="single" w:sz="6" w:space="0" w:color="000000"/>
              <w:right w:val="single" w:sz="6" w:space="0" w:color="000000"/>
            </w:tcBorders>
          </w:tcPr>
          <w:p w14:paraId="4A79BB3E" w14:textId="77777777" w:rsidR="001801C2" w:rsidRPr="001801C2" w:rsidRDefault="001801C2" w:rsidP="001801C2">
            <w:pPr>
              <w:jc w:val="center"/>
            </w:pPr>
            <w:r w:rsidRPr="001801C2">
              <w:t>3</w:t>
            </w:r>
          </w:p>
        </w:tc>
        <w:tc>
          <w:tcPr>
            <w:tcW w:w="2977" w:type="dxa"/>
            <w:tcBorders>
              <w:top w:val="single" w:sz="6" w:space="0" w:color="000000"/>
              <w:left w:val="single" w:sz="6" w:space="0" w:color="000000"/>
              <w:bottom w:val="single" w:sz="6" w:space="0" w:color="000000"/>
              <w:right w:val="single" w:sz="6" w:space="0" w:color="000000"/>
            </w:tcBorders>
          </w:tcPr>
          <w:p w14:paraId="3B111742" w14:textId="77777777" w:rsidR="001801C2" w:rsidRPr="001801C2" w:rsidRDefault="001801C2" w:rsidP="001801C2">
            <w:pPr>
              <w:jc w:val="center"/>
            </w:pPr>
            <w:r w:rsidRPr="001801C2">
              <w:t>4</w:t>
            </w:r>
          </w:p>
        </w:tc>
        <w:tc>
          <w:tcPr>
            <w:tcW w:w="3272" w:type="dxa"/>
            <w:tcBorders>
              <w:top w:val="single" w:sz="4" w:space="0" w:color="auto"/>
              <w:left w:val="single" w:sz="4" w:space="0" w:color="auto"/>
              <w:bottom w:val="single" w:sz="4" w:space="0" w:color="auto"/>
            </w:tcBorders>
          </w:tcPr>
          <w:p w14:paraId="19B621BC" w14:textId="77777777" w:rsidR="001801C2" w:rsidRPr="001801C2" w:rsidRDefault="001801C2" w:rsidP="001801C2">
            <w:pPr>
              <w:jc w:val="center"/>
            </w:pPr>
            <w:r w:rsidRPr="001801C2">
              <w:t>5</w:t>
            </w:r>
          </w:p>
        </w:tc>
      </w:tr>
      <w:tr w:rsidR="00AC2552" w:rsidRPr="001801C2" w14:paraId="7E46FFA8"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086290E4" w14:textId="0054DEE2" w:rsidR="00AC2552" w:rsidRPr="001801C2" w:rsidRDefault="00AC2552" w:rsidP="001801C2">
            <w:pPr>
              <w:jc w:val="center"/>
            </w:pPr>
            <w:r>
              <w:t>1</w:t>
            </w:r>
          </w:p>
        </w:tc>
        <w:tc>
          <w:tcPr>
            <w:tcW w:w="3260" w:type="dxa"/>
            <w:tcBorders>
              <w:top w:val="single" w:sz="6" w:space="0" w:color="000000"/>
              <w:left w:val="single" w:sz="6" w:space="0" w:color="000000"/>
              <w:bottom w:val="single" w:sz="6" w:space="0" w:color="000000"/>
              <w:right w:val="single" w:sz="6" w:space="0" w:color="000000"/>
            </w:tcBorders>
          </w:tcPr>
          <w:p w14:paraId="2C0BAB26" w14:textId="77777777" w:rsidR="00AC2552" w:rsidRDefault="00AC2552" w:rsidP="00AC2552">
            <w:pPr>
              <w:rPr>
                <w:i/>
              </w:rPr>
            </w:pPr>
            <w:r>
              <w:rPr>
                <w:i/>
              </w:rPr>
              <w:t>Projekts</w:t>
            </w:r>
          </w:p>
          <w:p w14:paraId="485D1D12" w14:textId="77777777" w:rsidR="00AC2552" w:rsidRPr="001801C2" w:rsidRDefault="00AC2552" w:rsidP="001801C2">
            <w:pPr>
              <w:jc w:val="center"/>
            </w:pPr>
          </w:p>
        </w:tc>
        <w:tc>
          <w:tcPr>
            <w:tcW w:w="3827" w:type="dxa"/>
            <w:gridSpan w:val="2"/>
            <w:tcBorders>
              <w:top w:val="single" w:sz="6" w:space="0" w:color="000000"/>
              <w:left w:val="single" w:sz="6" w:space="0" w:color="000000"/>
              <w:bottom w:val="single" w:sz="6" w:space="0" w:color="000000"/>
              <w:right w:val="single" w:sz="6" w:space="0" w:color="000000"/>
            </w:tcBorders>
          </w:tcPr>
          <w:p w14:paraId="224A8B4D" w14:textId="77777777" w:rsidR="00AC2552" w:rsidRPr="003B251D" w:rsidRDefault="00AC2552" w:rsidP="00AC2552">
            <w:pPr>
              <w:jc w:val="both"/>
              <w:rPr>
                <w:b/>
              </w:rPr>
            </w:pPr>
            <w:r w:rsidRPr="003B251D">
              <w:rPr>
                <w:b/>
              </w:rPr>
              <w:t>Finanšu ministrija (29.05.2019. vēstule Nr. 12/A-2/2486):</w:t>
            </w:r>
          </w:p>
          <w:p w14:paraId="20CEC0F2" w14:textId="77777777" w:rsidR="00AC2552" w:rsidRDefault="00AC2552" w:rsidP="00AC2552">
            <w:pPr>
              <w:jc w:val="both"/>
            </w:pPr>
            <w:r>
              <w:t xml:space="preserve">Ņemot vērā, ka asistenta pakalpojumu nodrošināšanai augstākās izglītības posmā (turpmāk – asistenta pakalpojums) nepieciešamo finansējumu 32 015 </w:t>
            </w:r>
            <w:proofErr w:type="spellStart"/>
            <w:r w:rsidRPr="008B3E64">
              <w:rPr>
                <w:i/>
              </w:rPr>
              <w:t>euro</w:t>
            </w:r>
            <w:proofErr w:type="spellEnd"/>
            <w:r w:rsidRPr="008B3E64">
              <w:rPr>
                <w:i/>
              </w:rPr>
              <w:t xml:space="preserve"> </w:t>
            </w:r>
            <w:r>
              <w:t xml:space="preserve">apmērā 2019. gadā IZM nodrošinās sava budžeta ietvaros, veicot </w:t>
            </w:r>
            <w:proofErr w:type="spellStart"/>
            <w:r>
              <w:t>transfertu</w:t>
            </w:r>
            <w:proofErr w:type="spellEnd"/>
            <w:r>
              <w:t xml:space="preserve"> uz Labklājības ministrijas budžetu, kā arī 2020. un 2021.gadam salīdzinoši nelielo papildu nepieciešamā finansējuma apmēru (96 046 </w:t>
            </w:r>
            <w:proofErr w:type="spellStart"/>
            <w:r w:rsidRPr="008B3E64">
              <w:rPr>
                <w:i/>
              </w:rPr>
              <w:t>euro</w:t>
            </w:r>
            <w:proofErr w:type="spellEnd"/>
            <w:r>
              <w:t>) asistenta pakalpojuma nodrošināšanai, aicinām IZM izvērtēt, ka 2020.gadā un turpmāk ik gadu asistenta pakalpojuma nodrošināšana īstenojama IZM piešķirto valsts budžeta līdzekļu ietvaros.</w:t>
            </w:r>
          </w:p>
          <w:p w14:paraId="373115C1" w14:textId="36CCD1B1" w:rsidR="00AC2552" w:rsidRPr="001801C2" w:rsidRDefault="00AC2552" w:rsidP="00AC2552">
            <w:pPr>
              <w:jc w:val="both"/>
            </w:pPr>
            <w:r>
              <w:lastRenderedPageBreak/>
              <w:t xml:space="preserve">Norādām, ka ņemot vērā IZM līdzšinējo programmas 12.00.00 “Finansējums asistenta pakalpojuma nodrošināšanai personai ar invaliditāti pārvietošanas atbalstam un pašaprūpes veikšanai” izpildi (2014.gada plāns 1 203 459 </w:t>
            </w:r>
            <w:proofErr w:type="spellStart"/>
            <w:r>
              <w:t>euro</w:t>
            </w:r>
            <w:proofErr w:type="spellEnd"/>
            <w:r>
              <w:t xml:space="preserve"> apmērā un izpilde 529 141 </w:t>
            </w:r>
            <w:proofErr w:type="spellStart"/>
            <w:r>
              <w:t>euro</w:t>
            </w:r>
            <w:proofErr w:type="spellEnd"/>
            <w:r>
              <w:t xml:space="preserve"> apmērā, 2015.gada plāns 1 031 890 </w:t>
            </w:r>
            <w:proofErr w:type="spellStart"/>
            <w:r>
              <w:t>euro</w:t>
            </w:r>
            <w:proofErr w:type="spellEnd"/>
            <w:r>
              <w:t xml:space="preserve"> apmērā un izpilde 698 422 </w:t>
            </w:r>
            <w:proofErr w:type="spellStart"/>
            <w:r>
              <w:t>euro</w:t>
            </w:r>
            <w:proofErr w:type="spellEnd"/>
            <w:r>
              <w:t xml:space="preserve"> apmērā, 2016.gada plāns 1 031 890 </w:t>
            </w:r>
            <w:proofErr w:type="spellStart"/>
            <w:r>
              <w:t>euro</w:t>
            </w:r>
            <w:proofErr w:type="spellEnd"/>
            <w:r>
              <w:t xml:space="preserve"> apmērā un izpilde 598 867 </w:t>
            </w:r>
            <w:proofErr w:type="spellStart"/>
            <w:r>
              <w:t>euro</w:t>
            </w:r>
            <w:proofErr w:type="spellEnd"/>
            <w:r>
              <w:t xml:space="preserve"> apmērā, 2017.gada plāns 746 350 </w:t>
            </w:r>
            <w:proofErr w:type="spellStart"/>
            <w:r>
              <w:t>euro</w:t>
            </w:r>
            <w:proofErr w:type="spellEnd"/>
            <w:r>
              <w:t xml:space="preserve"> apmērā un izpilde 615 439 </w:t>
            </w:r>
            <w:proofErr w:type="spellStart"/>
            <w:r>
              <w:t>euro</w:t>
            </w:r>
            <w:proofErr w:type="spellEnd"/>
            <w:r>
              <w:t xml:space="preserve"> apmērā, 2018.gada plāns 1 031 890 </w:t>
            </w:r>
            <w:proofErr w:type="spellStart"/>
            <w:r>
              <w:t>euro</w:t>
            </w:r>
            <w:proofErr w:type="spellEnd"/>
            <w:r>
              <w:t xml:space="preserve"> apmērā un izpilde 830 638 </w:t>
            </w:r>
            <w:proofErr w:type="spellStart"/>
            <w:r>
              <w:t>euro</w:t>
            </w:r>
            <w:proofErr w:type="spellEnd"/>
            <w:r>
              <w:t xml:space="preserve"> apmērā, 2019., 2020. un 2021.gada plāns 1 031 890 </w:t>
            </w:r>
            <w:proofErr w:type="spellStart"/>
            <w:r>
              <w:t>euro</w:t>
            </w:r>
            <w:proofErr w:type="spellEnd"/>
            <w:r>
              <w:t xml:space="preserve"> apmērā), mūsuprāt papildu nepieciešamais finansējums ir nodrošināms IZM esošo līdzekļu ietvaros.</w:t>
            </w:r>
          </w:p>
        </w:tc>
        <w:tc>
          <w:tcPr>
            <w:tcW w:w="2977" w:type="dxa"/>
            <w:tcBorders>
              <w:top w:val="single" w:sz="6" w:space="0" w:color="000000"/>
              <w:left w:val="single" w:sz="6" w:space="0" w:color="000000"/>
              <w:bottom w:val="single" w:sz="6" w:space="0" w:color="000000"/>
              <w:right w:val="single" w:sz="6" w:space="0" w:color="000000"/>
            </w:tcBorders>
          </w:tcPr>
          <w:p w14:paraId="0180111F" w14:textId="4B603FC8" w:rsidR="00AC2552" w:rsidRDefault="00AC2552" w:rsidP="00AC2552">
            <w:pPr>
              <w:jc w:val="center"/>
              <w:rPr>
                <w:b/>
              </w:rPr>
            </w:pPr>
            <w:r>
              <w:rPr>
                <w:b/>
              </w:rPr>
              <w:lastRenderedPageBreak/>
              <w:t>Panākta vienošanās</w:t>
            </w:r>
          </w:p>
          <w:p w14:paraId="291D7CD3" w14:textId="77777777" w:rsidR="00AC2552" w:rsidRPr="00FB6817" w:rsidRDefault="00AC2552" w:rsidP="00AC2552">
            <w:pPr>
              <w:jc w:val="both"/>
            </w:pPr>
            <w:r w:rsidRPr="00FB6817">
              <w:rPr>
                <w:rFonts w:eastAsia="Calibri"/>
              </w:rPr>
              <w:t xml:space="preserve">Ņemot vērā IZM līdzšinējo programmas 12.00.00 “Finansējums asistenta pakalpojuma nodrošināšanai personai ar invaliditāti pārvietošanas atbalstam un pašaprūpes veikšanai” izpildi, redzams, ka programmas izpilde </w:t>
            </w:r>
            <w:r w:rsidRPr="00FB6817">
              <w:t>iekļaujošās izglītības īstenošanai vispārizglītojošajās skolās</w:t>
            </w:r>
            <w:r w:rsidRPr="00FB6817">
              <w:rPr>
                <w:rFonts w:eastAsia="Calibri"/>
              </w:rPr>
              <w:t xml:space="preserve"> ar katru gadu pieaug.</w:t>
            </w:r>
            <w:r w:rsidRPr="00FB6817">
              <w:t xml:space="preserve"> 2020. gada ietvaros finanšu pārpalikumi šajā budžetā programmā netiek prognozēti un plānots, ka līdzekļi tiks pilnā apmērā izlietoti iekļaujošās </w:t>
            </w:r>
            <w:r w:rsidRPr="00FB6817">
              <w:lastRenderedPageBreak/>
              <w:t>izglītības īstenošanai vispārizglītojošajās skolās (un iespējams būs nepieciešams papildu finansējums).</w:t>
            </w:r>
            <w:r>
              <w:t xml:space="preserve"> Līdz ar to </w:t>
            </w:r>
            <w:r w:rsidRPr="0088711D">
              <w:rPr>
                <w:rFonts w:eastAsia="Calibri"/>
              </w:rPr>
              <w:t xml:space="preserve">2020.gadā un turpmāk asistenta pakalpojuma nodrošināšana augstākās izglītības posmā </w:t>
            </w:r>
            <w:r w:rsidRPr="0088711D">
              <w:rPr>
                <w:rFonts w:eastAsia="Calibri"/>
                <w:u w:val="single"/>
              </w:rPr>
              <w:t>nevar tikt īstenota</w:t>
            </w:r>
            <w:r w:rsidRPr="0088711D">
              <w:rPr>
                <w:rFonts w:eastAsia="Calibri"/>
              </w:rPr>
              <w:t xml:space="preserve"> IZM programmai 12.00.00 “Finansējums</w:t>
            </w:r>
            <w:r w:rsidRPr="00FB6817">
              <w:rPr>
                <w:rFonts w:eastAsia="Calibri"/>
              </w:rPr>
              <w:t xml:space="preserve"> asistenta pakalpojuma nodrošināšanai personai ar invaliditāti pārvietošanas atbalstam un pašaprūpes veikšanai”</w:t>
            </w:r>
            <w:r>
              <w:rPr>
                <w:rFonts w:eastAsia="Calibri"/>
              </w:rPr>
              <w:t xml:space="preserve"> </w:t>
            </w:r>
            <w:proofErr w:type="spellStart"/>
            <w:r>
              <w:rPr>
                <w:rFonts w:eastAsia="Calibri"/>
              </w:rPr>
              <w:t>piešīkrtā</w:t>
            </w:r>
            <w:proofErr w:type="spellEnd"/>
            <w:r>
              <w:rPr>
                <w:rFonts w:eastAsia="Calibri"/>
              </w:rPr>
              <w:t xml:space="preserve"> finansējuma ietvaros.</w:t>
            </w:r>
          </w:p>
          <w:p w14:paraId="711C5B43" w14:textId="6B4A64B8" w:rsidR="00AC2552" w:rsidRPr="001801C2" w:rsidRDefault="00AC2552" w:rsidP="00AC2552">
            <w:pPr>
              <w:jc w:val="both"/>
            </w:pPr>
            <w:r w:rsidRPr="00FB6817">
              <w:t xml:space="preserve">Šobrīd asistenta pakalpojums tiek nodrošināts 290 izglītojamajiem. Nepieciešamais finansējums, lai nodrošinātu asistenta pakalpojumu pilnā (100%) apmērā 290 izglītojamajiem 2020.gadā ir 1 450 021,21 </w:t>
            </w:r>
            <w:proofErr w:type="spellStart"/>
            <w:r w:rsidRPr="00FB6817">
              <w:t>euro</w:t>
            </w:r>
            <w:proofErr w:type="spellEnd"/>
            <w:r w:rsidRPr="00FB6817">
              <w:t xml:space="preserve">, kas par 418 131 </w:t>
            </w:r>
            <w:proofErr w:type="spellStart"/>
            <w:r w:rsidRPr="00FB6817">
              <w:t>euro</w:t>
            </w:r>
            <w:proofErr w:type="spellEnd"/>
            <w:r w:rsidRPr="00FB6817">
              <w:t xml:space="preserve"> pārsniedz budžeta bāzē plānoto finansējumu. Taču ņemot vērā līdzšinējo pieredzi, tiek prognozēts faktiskā izpilde būs mazāka par plānoto. Minimālais scenārijs -</w:t>
            </w:r>
            <w:r w:rsidRPr="00FB6817">
              <w:lastRenderedPageBreak/>
              <w:t xml:space="preserve">pieņemot, ka izglītojamo skaits saglabāsies nemainīgā (290) līmenī un faktiskā izpilde pret plānoto saglabāsies nemainīgā līmenī (2019.g.~70%), tad 2020.gadā minimāli nepieciešamais finansējums prognozējams 1 010 065 </w:t>
            </w:r>
            <w:proofErr w:type="spellStart"/>
            <w:r w:rsidRPr="00FB6817">
              <w:t>euro</w:t>
            </w:r>
            <w:proofErr w:type="spellEnd"/>
            <w:r w:rsidRPr="00FB6817">
              <w:t xml:space="preserve"> apmērā. Bet gadījumā, ja turpinās pēdējo gadu </w:t>
            </w:r>
            <w:proofErr w:type="spellStart"/>
            <w:r w:rsidRPr="00FB6817">
              <w:t>tendeces</w:t>
            </w:r>
            <w:proofErr w:type="spellEnd"/>
            <w:r w:rsidRPr="00FB6817">
              <w:t>, ka pieaug gan izglītojamo skaits, gan faktiskās izpildes proporcija, tad nepiecie</w:t>
            </w:r>
            <w:r>
              <w:t>šamais  finansējums būs lielāks.</w:t>
            </w:r>
          </w:p>
        </w:tc>
        <w:tc>
          <w:tcPr>
            <w:tcW w:w="3272" w:type="dxa"/>
            <w:tcBorders>
              <w:top w:val="single" w:sz="4" w:space="0" w:color="auto"/>
              <w:left w:val="single" w:sz="4" w:space="0" w:color="auto"/>
              <w:bottom w:val="single" w:sz="4" w:space="0" w:color="auto"/>
            </w:tcBorders>
          </w:tcPr>
          <w:p w14:paraId="017C80C2" w14:textId="77777777" w:rsidR="00AC2552" w:rsidRPr="006D152F" w:rsidRDefault="00AC2552" w:rsidP="00AC2552">
            <w:pPr>
              <w:jc w:val="both"/>
            </w:pPr>
            <w:r w:rsidRPr="006D152F">
              <w:lastRenderedPageBreak/>
              <w:t>Precizēts projekts: “Iekļaujot asistenta pakalpojumu augstākās izglītības posmā asistenta pakalpojuma pašvaldībā tvēru</w:t>
            </w:r>
            <w:bookmarkStart w:id="0" w:name="_GoBack"/>
            <w:bookmarkEnd w:id="0"/>
            <w:r w:rsidRPr="006D152F">
              <w:t>mā, tika norādīts, ka t</w:t>
            </w:r>
            <w:r>
              <w:t xml:space="preserve">ā nodrošināšanai nepieciešamais </w:t>
            </w:r>
            <w:r w:rsidRPr="006D152F">
              <w:t xml:space="preserve">finansējums pilnā apmērā 96 046 </w:t>
            </w:r>
            <w:proofErr w:type="spellStart"/>
            <w:r w:rsidRPr="006D152F">
              <w:rPr>
                <w:i/>
              </w:rPr>
              <w:t>euro</w:t>
            </w:r>
            <w:proofErr w:type="spellEnd"/>
            <w:r w:rsidRPr="006D152F">
              <w:t xml:space="preserve"> (aprēķins likuma “Grozījumi Invaliditātes likumā”, kas stājas spēkā 2018. gada 28. novembrī, anotācijā) piešķirams Labklājības ministrijai asistenta pakalpojuma pašvaldībā nodrošināšanai. Tomēr, pieņemot likumu “Grozījumi Invaliditātes likumā”, šā pakalpojuma ieviešanai Izglītības un zinātnes ministrijas budžeta programmā </w:t>
            </w:r>
            <w:r w:rsidRPr="006D152F">
              <w:lastRenderedPageBreak/>
              <w:t xml:space="preserve">12.00.00 „Finansējums asistenta pakalpojuma nodrošināšanai personai ar invaliditāti pārvietošanas atbalstam un pašaprūpes veikšanai” papildus finansējums netika piešķirts. 2019. gada ietvaros finanšu pārpalikumi šajā budžetā programmā netiek prognozēti un plānots, ka līdzekļi tiks pilnā apmērā izlietoti iekļaujošās izglītības īstenošanai vispārizglītojošajās skolās. Lai ieviestu asistenta pakalpojumu augstākās izglītības posmā sākot ar 2019. gada 1. septembri, nepieciešamo finansējumu 32 015 </w:t>
            </w:r>
            <w:proofErr w:type="spellStart"/>
            <w:r w:rsidRPr="006D152F">
              <w:rPr>
                <w:i/>
              </w:rPr>
              <w:t>euro</w:t>
            </w:r>
            <w:proofErr w:type="spellEnd"/>
            <w:r w:rsidRPr="006D152F">
              <w:t xml:space="preserve"> apmērā (par periodu no 2019. gada septembra līdz decembrim) Izglītības un zinātnes ministrija plāno pārdalīt no 2019. gadā budžeta apakšprogrammā 03.11.00 “Koledžas” ietaupītā finansējuma uz budžeta programmu 12.00.00 „Finansējums asistenta pakalpojuma nodrošināšanai personai ar invaliditāti pārvietošanas atbalstam un pašaprūpes veikšanai” un veikt </w:t>
            </w:r>
            <w:proofErr w:type="spellStart"/>
            <w:r w:rsidRPr="006D152F">
              <w:t>transferta</w:t>
            </w:r>
            <w:proofErr w:type="spellEnd"/>
            <w:r w:rsidRPr="006D152F">
              <w:t xml:space="preserve"> pārskaitījumu uz </w:t>
            </w:r>
            <w:r w:rsidRPr="006D152F">
              <w:lastRenderedPageBreak/>
              <w:t xml:space="preserve">Labklājības ministrijas budžeta apakšprogrammu 05.01.00 ”Sociālās rehabilitācijas valsts programmas”. Attiecībā uz nepieciešamo finansējumu 2020. gadam un turpmākajiem gadiem, Labklājības ministrijai ir jāizstrādā budžeta bāzes precizējumi par papildu nepieciešamo finansējumu bāzes 2020, 2021. un 2022. gada izdevumu palielināšanai asistenta pakalpojuma nodrošināšanai augstākās izglītības posmā 2020. gadā un turpmākajos gados, atbilstoši </w:t>
            </w:r>
            <w:r w:rsidRPr="006D152F" w:rsidDel="00D76C88">
              <w:t xml:space="preserve"> </w:t>
            </w:r>
            <w:r w:rsidRPr="006D152F">
              <w:t>prognozēm par personu ar invaliditāti (skaitu), kuras saņem asistenta pakalpojumu.</w:t>
            </w:r>
            <w:r w:rsidRPr="006D152F" w:rsidDel="00D76C88">
              <w:t xml:space="preserve"> </w:t>
            </w:r>
          </w:p>
          <w:p w14:paraId="20644967" w14:textId="77777777" w:rsidR="00AC2552" w:rsidRPr="006D152F" w:rsidRDefault="00AC2552" w:rsidP="00AC2552">
            <w:pPr>
              <w:ind w:firstLine="709"/>
              <w:jc w:val="both"/>
            </w:pPr>
          </w:p>
          <w:p w14:paraId="67E6047C" w14:textId="4260AD5D" w:rsidR="00AC2552" w:rsidRPr="001801C2" w:rsidRDefault="00AC2552" w:rsidP="00AC2552">
            <w:pPr>
              <w:jc w:val="both"/>
            </w:pPr>
            <w:r w:rsidRPr="006D152F">
              <w:t xml:space="preserve">Ievērojot minēto, ministrija ir sagatavojusi Ministru kabineta </w:t>
            </w:r>
            <w:proofErr w:type="spellStart"/>
            <w:r w:rsidRPr="006D152F">
              <w:t>protokollēmuma</w:t>
            </w:r>
            <w:proofErr w:type="spellEnd"/>
            <w:r w:rsidRPr="006D152F">
              <w:t xml:space="preserve"> projektu, kurš paredz uzdevumu Izglītības un zinātnes ministrijai veikt </w:t>
            </w:r>
            <w:proofErr w:type="spellStart"/>
            <w:r w:rsidRPr="006D152F">
              <w:t>transferta</w:t>
            </w:r>
            <w:proofErr w:type="spellEnd"/>
            <w:r w:rsidRPr="006D152F">
              <w:t xml:space="preserve"> pārskaitījumu Labklājības ministrijai asistenta pakalpojuma ieviešanai un nodrošināšanai augstākās izglītības posmā laika periodā 2019. gada septembris – decembris un Labklājības ministrijai līdz 2019. gada 1. augustam sagatavot </w:t>
            </w:r>
            <w:r w:rsidRPr="006D152F">
              <w:lastRenderedPageBreak/>
              <w:t>pakalpojuma ieviešanai nepieciešamos normatīvā regulējuma grozījumus Noteikumos Nr. 942 un precizēt bāzes izdevumus asistenta pakalpojuma nodrošināšanai augstākās izglītības posmā 2020. gadā un turpmākajos gados.”</w:t>
            </w:r>
          </w:p>
        </w:tc>
      </w:tr>
      <w:tr w:rsidR="002322AC" w:rsidRPr="001801C2" w14:paraId="13063102"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51CA8EF6" w14:textId="712D39A9" w:rsidR="002322AC" w:rsidRPr="001801C2" w:rsidRDefault="00AC2552" w:rsidP="002322AC">
            <w:pPr>
              <w:jc w:val="center"/>
            </w:pPr>
            <w:r>
              <w:lastRenderedPageBreak/>
              <w:t>2</w:t>
            </w:r>
          </w:p>
        </w:tc>
        <w:tc>
          <w:tcPr>
            <w:tcW w:w="3260" w:type="dxa"/>
            <w:tcBorders>
              <w:top w:val="single" w:sz="6" w:space="0" w:color="000000"/>
              <w:left w:val="single" w:sz="6" w:space="0" w:color="000000"/>
              <w:bottom w:val="single" w:sz="6" w:space="0" w:color="000000"/>
              <w:right w:val="single" w:sz="6" w:space="0" w:color="000000"/>
            </w:tcBorders>
          </w:tcPr>
          <w:p w14:paraId="57A307FD" w14:textId="58569C4A" w:rsidR="009E474F" w:rsidRPr="009E474F" w:rsidRDefault="009E474F" w:rsidP="002322AC">
            <w:pPr>
              <w:jc w:val="both"/>
            </w:pPr>
            <w:r w:rsidRPr="009E474F">
              <w:t>6. Labklājības ministrijai izstrādāt nepieciešamo normatīvo aktu grozījumus un iesniegt prioritārā pasākuma pieteikumu par papildus finansējumu asistenta pakalpojuma nodrošināšanai augstākās izglītības posmā 2020.gadā un turpmākajos gados.</w:t>
            </w:r>
          </w:p>
          <w:p w14:paraId="0DB6B97F" w14:textId="77777777" w:rsidR="009E474F" w:rsidRDefault="009E474F" w:rsidP="002322AC">
            <w:pPr>
              <w:jc w:val="both"/>
              <w:rPr>
                <w:i/>
              </w:rPr>
            </w:pPr>
          </w:p>
          <w:p w14:paraId="7BC1845B" w14:textId="77777777" w:rsidR="002322AC" w:rsidRPr="00A42E00" w:rsidRDefault="002322AC" w:rsidP="002322AC">
            <w:pPr>
              <w:jc w:val="both"/>
            </w:pPr>
            <w:r w:rsidRPr="00A42E00">
              <w:t xml:space="preserve">7. Jautājums par papildus nepieciešamo finansējumu 96 046 </w:t>
            </w:r>
            <w:proofErr w:type="spellStart"/>
            <w:r w:rsidRPr="00A42E00">
              <w:t>euro</w:t>
            </w:r>
            <w:proofErr w:type="spellEnd"/>
            <w:r w:rsidRPr="00A42E00">
              <w:t xml:space="preserve"> apmērā 2020.gadam un turpmāk, lai nodrošinātu asistenta pakalpojuma ieviešanu augstākās izglītības posmā, izskatāms likumprojekta "Par vidēja termiņa budžeta ietvaru 2020., 2021. un 2022.gadam" un likumprojekta "Par valsts budžetu 2020.gadam" sagatavošanas procesā, kopā ar visu ministriju un citu valsts </w:t>
            </w:r>
            <w:r w:rsidRPr="00A42E00">
              <w:lastRenderedPageBreak/>
              <w:t>pārvaldes iestāžu prioritāro pasākumu pieprasījumiem.</w:t>
            </w:r>
          </w:p>
          <w:p w14:paraId="49FF9709" w14:textId="77777777" w:rsidR="002322AC" w:rsidRDefault="002322AC" w:rsidP="002322AC">
            <w:pPr>
              <w:jc w:val="both"/>
              <w:rPr>
                <w:i/>
              </w:rPr>
            </w:pPr>
          </w:p>
        </w:tc>
        <w:tc>
          <w:tcPr>
            <w:tcW w:w="3827" w:type="dxa"/>
            <w:gridSpan w:val="2"/>
            <w:tcBorders>
              <w:top w:val="single" w:sz="6" w:space="0" w:color="000000"/>
              <w:left w:val="single" w:sz="6" w:space="0" w:color="000000"/>
              <w:bottom w:val="single" w:sz="6" w:space="0" w:color="000000"/>
              <w:right w:val="single" w:sz="6" w:space="0" w:color="000000"/>
            </w:tcBorders>
          </w:tcPr>
          <w:p w14:paraId="6D521766" w14:textId="77777777" w:rsidR="002322AC" w:rsidRPr="003B251D" w:rsidRDefault="002322AC" w:rsidP="002322AC">
            <w:pPr>
              <w:jc w:val="both"/>
              <w:rPr>
                <w:b/>
              </w:rPr>
            </w:pPr>
            <w:r w:rsidRPr="003B251D">
              <w:rPr>
                <w:b/>
              </w:rPr>
              <w:lastRenderedPageBreak/>
              <w:t>Finanšu ministrija (29.05.2019. vēstule Nr. 12/A-2/2486):</w:t>
            </w:r>
          </w:p>
          <w:p w14:paraId="015889D0" w14:textId="77777777" w:rsidR="002322AC" w:rsidRPr="00AC02AE" w:rsidRDefault="002322AC" w:rsidP="002322AC">
            <w:pPr>
              <w:jc w:val="both"/>
            </w:pPr>
            <w:proofErr w:type="spellStart"/>
            <w:r w:rsidRPr="00A76C28">
              <w:rPr>
                <w:rFonts w:eastAsia="Calibri"/>
              </w:rPr>
              <w:t>Protokollēmuma</w:t>
            </w:r>
            <w:proofErr w:type="spellEnd"/>
            <w:r w:rsidRPr="00A76C28">
              <w:rPr>
                <w:rFonts w:eastAsia="Calibri"/>
              </w:rPr>
              <w:t xml:space="preserve"> projekta 7.punkts paredz, ka jautājums par papildus nepieciešamo finansējumu 96 046 </w:t>
            </w:r>
            <w:proofErr w:type="spellStart"/>
            <w:r w:rsidRPr="00A76C28">
              <w:rPr>
                <w:rFonts w:eastAsia="Calibri"/>
                <w:i/>
              </w:rPr>
              <w:t>euro</w:t>
            </w:r>
            <w:proofErr w:type="spellEnd"/>
            <w:r w:rsidRPr="00A76C28">
              <w:rPr>
                <w:rFonts w:eastAsia="Calibri"/>
              </w:rPr>
              <w:t xml:space="preserve"> apmērā 2020.gadam un turpmāk, lai nodrošinātu asistenta pakalpojumu, izskatāms likumprojekta “Par vidēja termiņa budžeta ietvaru 2020., 2021. un 2022.gadam” un likumprojekta “Par valsts budžetu 2020.gadam” sagatavošanas procesā kopā ar visu ministriju un citu valsts pārvaldes iestāžu prioritāro pasākumu pieprasījumiem. Savukārt likuma “Grozījumi Invaliditātes likumā”, kas stājās spēkā 2018.gada 28.novembrī, anotācijā tika paredzēts, ka asistenta pakalpojuma nodrošināšanai nepieciešamais finansējums 2019.gadā un turpmāk ik gadu tiks nodrošināts, palielinot IZM pamatbudžeta bāzes izdevumus programmā 12.00.00 “Finansējums </w:t>
            </w:r>
            <w:r w:rsidRPr="00A76C28">
              <w:rPr>
                <w:rFonts w:eastAsia="Calibri"/>
              </w:rPr>
              <w:lastRenderedPageBreak/>
              <w:t xml:space="preserve">asistenta pakalpojuma nodrošināšanai personai ar invaliditāti pārvietošanās atbalstam un pašaprūpes veikšanai”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10.3.4.apakšpunktā, kurš paredz pamatbudžeta bāzes izdevumu precizēšanu ņemot vērā izmaiņas prognozē “personas ar invaliditāti (skaits), kuras saņem asistenta pakalpojumu”, noteiktajam. Līdz ar to aicinām pārskatīt </w:t>
            </w:r>
            <w:proofErr w:type="spellStart"/>
            <w:r w:rsidRPr="00A76C28">
              <w:rPr>
                <w:rFonts w:eastAsia="Calibri"/>
              </w:rPr>
              <w:t>protokollēmuma</w:t>
            </w:r>
            <w:proofErr w:type="spellEnd"/>
            <w:r w:rsidRPr="00A76C28">
              <w:rPr>
                <w:rFonts w:eastAsia="Calibri"/>
              </w:rPr>
              <w:t xml:space="preserve"> projekta 6. un 7.punktu un informatīvā ziņojuma projektu.</w:t>
            </w:r>
          </w:p>
        </w:tc>
        <w:tc>
          <w:tcPr>
            <w:tcW w:w="2977" w:type="dxa"/>
            <w:tcBorders>
              <w:top w:val="single" w:sz="6" w:space="0" w:color="000000"/>
              <w:left w:val="single" w:sz="6" w:space="0" w:color="000000"/>
              <w:bottom w:val="single" w:sz="6" w:space="0" w:color="000000"/>
              <w:right w:val="single" w:sz="6" w:space="0" w:color="000000"/>
            </w:tcBorders>
          </w:tcPr>
          <w:p w14:paraId="3CAB9773" w14:textId="77777777" w:rsidR="002322AC" w:rsidRDefault="002322AC" w:rsidP="002322AC">
            <w:pPr>
              <w:jc w:val="center"/>
              <w:rPr>
                <w:b/>
              </w:rPr>
            </w:pPr>
            <w:r>
              <w:rPr>
                <w:b/>
              </w:rPr>
              <w:lastRenderedPageBreak/>
              <w:t>Ņemts vērā</w:t>
            </w:r>
          </w:p>
          <w:p w14:paraId="1DDDFB09" w14:textId="15E7EAB8" w:rsidR="002322AC" w:rsidRPr="003B251D" w:rsidRDefault="002322AC" w:rsidP="002322AC">
            <w:pPr>
              <w:jc w:val="both"/>
              <w:rPr>
                <w:b/>
              </w:rPr>
            </w:pPr>
            <w:r>
              <w:t xml:space="preserve">Tika precizēts </w:t>
            </w:r>
            <w:proofErr w:type="spellStart"/>
            <w:r>
              <w:t>protokollēmuma</w:t>
            </w:r>
            <w:proofErr w:type="spellEnd"/>
            <w:r>
              <w:t xml:space="preserve"> projekts, izsakot 6. punktu jaunā redakcijā, kā arī svītrots            7. punkts.  </w:t>
            </w:r>
            <w:r w:rsidR="009E474F">
              <w:t>Precizēts informatīvā ziņojuma projekts.</w:t>
            </w:r>
          </w:p>
          <w:p w14:paraId="67F4488E" w14:textId="77777777" w:rsidR="002322AC" w:rsidRPr="003628B2" w:rsidRDefault="002322AC" w:rsidP="002322AC">
            <w:pPr>
              <w:jc w:val="center"/>
            </w:pPr>
          </w:p>
        </w:tc>
        <w:tc>
          <w:tcPr>
            <w:tcW w:w="3272" w:type="dxa"/>
            <w:tcBorders>
              <w:top w:val="single" w:sz="4" w:space="0" w:color="auto"/>
              <w:left w:val="single" w:sz="4" w:space="0" w:color="auto"/>
              <w:bottom w:val="single" w:sz="4" w:space="0" w:color="auto"/>
            </w:tcBorders>
          </w:tcPr>
          <w:p w14:paraId="219069F2" w14:textId="09AD19B8" w:rsidR="002322AC" w:rsidRPr="00DC0C57" w:rsidRDefault="009E474F" w:rsidP="002322AC">
            <w:pPr>
              <w:jc w:val="both"/>
            </w:pPr>
            <w:r>
              <w:t>“</w:t>
            </w:r>
            <w:r w:rsidR="002322AC" w:rsidRPr="00DC0C57">
              <w:t xml:space="preserve">6. Labklājības ministrijai </w:t>
            </w:r>
            <w:r w:rsidRPr="009E474F">
              <w:t xml:space="preserve">līdz 2019. gada 1. augustam </w:t>
            </w:r>
            <w:r w:rsidR="002322AC" w:rsidRPr="00DC0C57">
              <w:t>izstrādāt nepieciešamo normatīvo aktu grozījumus un precizēt bāzes izdevumus asistenta pakalpojuma nodrošināšanai augstākās izglītības posmā 2</w:t>
            </w:r>
            <w:r>
              <w:t>020. gadā un turpmākajos gados.”</w:t>
            </w:r>
          </w:p>
          <w:p w14:paraId="2DD75D4A" w14:textId="77777777" w:rsidR="002322AC" w:rsidRDefault="002322AC" w:rsidP="002322AC">
            <w:pPr>
              <w:tabs>
                <w:tab w:val="left" w:pos="709"/>
              </w:tabs>
              <w:spacing w:after="60"/>
              <w:contextualSpacing/>
              <w:jc w:val="both"/>
              <w:rPr>
                <w:b/>
                <w:sz w:val="28"/>
                <w:szCs w:val="28"/>
              </w:rPr>
            </w:pPr>
          </w:p>
          <w:p w14:paraId="5CAB37B5" w14:textId="77777777" w:rsidR="009E474F" w:rsidRDefault="009E474F" w:rsidP="009E474F">
            <w:pPr>
              <w:jc w:val="both"/>
            </w:pPr>
            <w:r>
              <w:t>Precizēts projekts:</w:t>
            </w:r>
          </w:p>
          <w:p w14:paraId="2F84FAD0" w14:textId="77777777" w:rsidR="009E474F" w:rsidRPr="00AA269F" w:rsidRDefault="009E474F" w:rsidP="009E474F">
            <w:pPr>
              <w:jc w:val="both"/>
            </w:pPr>
            <w:r>
              <w:t>“</w:t>
            </w:r>
            <w:r w:rsidRPr="00AA269F">
              <w:t xml:space="preserve">Iekļaujot asistenta pakalpojumu augstākās izglītības posmā asistenta pakalpojuma pašvaldībā tvērumā, tā nodrošināšanai nepieciešamais finansējums pilnā apmērā 96 046 </w:t>
            </w:r>
            <w:proofErr w:type="spellStart"/>
            <w:r w:rsidRPr="00AA269F">
              <w:t>euro</w:t>
            </w:r>
            <w:proofErr w:type="spellEnd"/>
            <w:r w:rsidRPr="00AA269F">
              <w:t xml:space="preserve"> (aprēķins likuma “Grozījumi Invaliditātes likumā”, kas stājas spēkā 2018. gada 28. novembrī, anotācijā) piešķirams Labklājības ministrijai asistenta pakalpojuma pašvaldībā nodrošināšanai. Tomēr, </w:t>
            </w:r>
            <w:r w:rsidRPr="00AA269F">
              <w:lastRenderedPageBreak/>
              <w:t xml:space="preserve">pieņemot likumu “Grozījumi Invaliditātes likumā”, šā pakalpojuma ieviešanai Izglītības un zinātnes ministrijas budžeta programmā 12.00.00 „Finansējums asistenta pakalpojuma nodrošināšanai personai ar invaliditāti pārvietošanas atbalstam un pašaprūpes veikšanai” papildus finansējums netika piešķirts. 2019. gada ietvaros finanšu pārpalikumi šajā budžetā programmā netiek prognozēti un plānots, ka līdzekļi tiks pilnā apmērā izlietoti iekļaujošās izglītības īstenošanai vispārizglītojošajās skolās. Lai ieviestu asistenta pakalpojumu augstākās izglītības posmā sākot ar 2019. gada 1. septembri, nepieciešamo finansējumu 32 015 </w:t>
            </w:r>
            <w:proofErr w:type="spellStart"/>
            <w:r w:rsidRPr="00AA269F">
              <w:t>euro</w:t>
            </w:r>
            <w:proofErr w:type="spellEnd"/>
            <w:r w:rsidRPr="00AA269F">
              <w:t xml:space="preserve"> apmērā (par periodu no 2019. gada septembra līdz decembrim) plānots pārdalīt no 2019. gadā budžeta apakšprogrammā 03.11.00 “Koledžas” ietaupītā finansējuma uz budžeta programmu 12.00.00 „Finansējums asistenta pakalpojuma nodrošināšanai </w:t>
            </w:r>
            <w:r w:rsidRPr="00AA269F">
              <w:lastRenderedPageBreak/>
              <w:t xml:space="preserve">personai ar invaliditāti pārvietošanas atbalstam un pašaprūpes veikšanai” un veikt </w:t>
            </w:r>
            <w:proofErr w:type="spellStart"/>
            <w:r w:rsidRPr="00AA269F">
              <w:t>transferta</w:t>
            </w:r>
            <w:proofErr w:type="spellEnd"/>
            <w:r w:rsidRPr="00AA269F">
              <w:t xml:space="preserve"> pārskaitījumu uz Labklājības ministrijas budžeta apakšprogrammu 05.01.00 ”Sociālās rehabilitācijas valsts programmas”. Attiecībā uz nepieciešamo finansējumu 2020. gadam un turpmākajiem gadiem, Labklājības ministrijai ir jāizstrādā budžeta bāzes precizējumi par papildu nepieciešamo finansējumu bāzes 2020, 2021. un 2022. gada izdevumu palielināšanai asistenta pakalpojuma nodrošināšanai augstākās izglītības posmā 2020. gadā un turpmākajos gados, atbilstoši </w:t>
            </w:r>
            <w:r w:rsidRPr="00AA269F" w:rsidDel="00D76C88">
              <w:t xml:space="preserve"> </w:t>
            </w:r>
            <w:r w:rsidRPr="00AA269F">
              <w:t>prognozēm par personu ar invaliditāti (skaitu), kuras saņem asistenta pakalpojumu.</w:t>
            </w:r>
            <w:r w:rsidRPr="00AA269F" w:rsidDel="00D76C88">
              <w:t xml:space="preserve"> </w:t>
            </w:r>
          </w:p>
          <w:p w14:paraId="3C3D3425" w14:textId="04092526" w:rsidR="009E474F" w:rsidRPr="009E474F" w:rsidRDefault="009E474F" w:rsidP="009E474F">
            <w:pPr>
              <w:jc w:val="both"/>
            </w:pPr>
            <w:r w:rsidRPr="00AA269F">
              <w:t xml:space="preserve">Ievērojot minēto, ministrija ir sagatavojusi Ministru kabineta </w:t>
            </w:r>
            <w:proofErr w:type="spellStart"/>
            <w:r w:rsidRPr="00AA269F">
              <w:t>protokollēmuma</w:t>
            </w:r>
            <w:proofErr w:type="spellEnd"/>
            <w:r w:rsidRPr="00AA269F">
              <w:t xml:space="preserve"> projektu, kurš paredz uzdevumu Izglītības un zinātnes ministrijai veikt </w:t>
            </w:r>
            <w:proofErr w:type="spellStart"/>
            <w:r w:rsidRPr="00AA269F">
              <w:t>transferta</w:t>
            </w:r>
            <w:proofErr w:type="spellEnd"/>
            <w:r w:rsidRPr="00AA269F">
              <w:t xml:space="preserve"> pārskaitījumu Labklājības ministrijai asistenta pakalpojuma ieviešanai un nodrošināšanai augstākās izglītības posmā laika periodā 2019. gada septembris – </w:t>
            </w:r>
            <w:r w:rsidRPr="00AA269F">
              <w:lastRenderedPageBreak/>
              <w:t>decembris un Labklājības ministrijai veikt pakalpojuma ieviešanai nepieciešamos normatīvā regulējuma grozījumus MK noteikumos Nr. 942 un precizēt bāzes izdevumus asistenta pakalpojuma nodrošināšanai augstākās izglītības posmā 2020. gadā un turpmākajos gados.</w:t>
            </w:r>
            <w:r>
              <w:t>”</w:t>
            </w:r>
          </w:p>
        </w:tc>
      </w:tr>
      <w:tr w:rsidR="009E474F" w:rsidRPr="001801C2" w14:paraId="7B18ACE7"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6F92CABA" w14:textId="6D5AB9F3" w:rsidR="009E474F" w:rsidRPr="001801C2" w:rsidRDefault="00AC2552" w:rsidP="009E474F">
            <w:pPr>
              <w:jc w:val="center"/>
            </w:pPr>
            <w:r>
              <w:lastRenderedPageBreak/>
              <w:t>3</w:t>
            </w:r>
          </w:p>
        </w:tc>
        <w:tc>
          <w:tcPr>
            <w:tcW w:w="3260" w:type="dxa"/>
            <w:tcBorders>
              <w:top w:val="single" w:sz="6" w:space="0" w:color="000000"/>
              <w:left w:val="single" w:sz="6" w:space="0" w:color="000000"/>
              <w:bottom w:val="single" w:sz="6" w:space="0" w:color="000000"/>
              <w:right w:val="single" w:sz="6" w:space="0" w:color="000000"/>
            </w:tcBorders>
          </w:tcPr>
          <w:p w14:paraId="3CF4FA9F" w14:textId="77777777" w:rsidR="009E474F" w:rsidRDefault="009E474F" w:rsidP="009E474F">
            <w:pPr>
              <w:jc w:val="both"/>
              <w:rPr>
                <w:i/>
              </w:rPr>
            </w:pPr>
            <w:r>
              <w:rPr>
                <w:i/>
              </w:rPr>
              <w:t xml:space="preserve">Projekts, </w:t>
            </w:r>
            <w:proofErr w:type="spellStart"/>
            <w:r>
              <w:rPr>
                <w:i/>
              </w:rPr>
              <w:t>protokollēmuma</w:t>
            </w:r>
            <w:proofErr w:type="spellEnd"/>
            <w:r>
              <w:rPr>
                <w:i/>
              </w:rPr>
              <w:t xml:space="preserve"> projekts</w:t>
            </w:r>
          </w:p>
          <w:p w14:paraId="1D3F817A" w14:textId="77777777" w:rsidR="009E474F" w:rsidRDefault="009E474F" w:rsidP="009E474F">
            <w:pPr>
              <w:jc w:val="both"/>
              <w:rPr>
                <w:i/>
              </w:rPr>
            </w:pPr>
          </w:p>
          <w:p w14:paraId="384F6863" w14:textId="2856E563" w:rsidR="009E474F" w:rsidRPr="00AA269F" w:rsidRDefault="009E474F" w:rsidP="009E474F">
            <w:pPr>
              <w:jc w:val="both"/>
            </w:pPr>
            <w:r w:rsidRPr="009454D5">
              <w:t xml:space="preserve">8. Izglītības un zinātnes ministrijai sadarbībā ar </w:t>
            </w:r>
            <w:r>
              <w:t>Veselības</w:t>
            </w:r>
            <w:r w:rsidRPr="009454D5">
              <w:t xml:space="preserve"> ministriju (Veselības un darbspēju ekspertīzes ārstu valsts komisiju) un pašvaldībām veikt nepieciešamās darbības, lai nodrošināt datu apmaiņu par studējošajiem un pilngadīgām personām ar I vai II invaliditātes grupu, kurām nepieciešams asistenta pakalpojums (izglītībā).</w:t>
            </w:r>
          </w:p>
        </w:tc>
        <w:tc>
          <w:tcPr>
            <w:tcW w:w="3827" w:type="dxa"/>
            <w:gridSpan w:val="2"/>
            <w:tcBorders>
              <w:top w:val="single" w:sz="6" w:space="0" w:color="000000"/>
              <w:left w:val="single" w:sz="6" w:space="0" w:color="000000"/>
              <w:bottom w:val="single" w:sz="6" w:space="0" w:color="000000"/>
              <w:right w:val="single" w:sz="6" w:space="0" w:color="000000"/>
            </w:tcBorders>
          </w:tcPr>
          <w:p w14:paraId="28AAC60E" w14:textId="77777777" w:rsidR="009E474F" w:rsidRPr="003B251D" w:rsidRDefault="009E474F" w:rsidP="009E474F">
            <w:pPr>
              <w:jc w:val="both"/>
              <w:rPr>
                <w:b/>
              </w:rPr>
            </w:pPr>
            <w:r w:rsidRPr="003B251D">
              <w:rPr>
                <w:b/>
              </w:rPr>
              <w:t>Finanšu ministrija (29.05.2019. vēstule Nr. 12/A-2/2486):</w:t>
            </w:r>
          </w:p>
          <w:p w14:paraId="3A7CDEAE" w14:textId="77777777" w:rsidR="009E474F" w:rsidRDefault="009E474F" w:rsidP="009E474F">
            <w:pPr>
              <w:widowControl w:val="0"/>
              <w:jc w:val="both"/>
              <w:rPr>
                <w:rFonts w:eastAsia="Calibri"/>
                <w:lang w:eastAsia="en-US"/>
              </w:rPr>
            </w:pPr>
            <w:r w:rsidRPr="00550DD9">
              <w:rPr>
                <w:rFonts w:eastAsia="Calibri"/>
                <w:lang w:eastAsia="en-US"/>
              </w:rPr>
              <w:t xml:space="preserve">Lūdzam precizēt </w:t>
            </w:r>
            <w:proofErr w:type="spellStart"/>
            <w:r w:rsidRPr="00550DD9">
              <w:rPr>
                <w:rFonts w:eastAsia="Calibri"/>
                <w:lang w:eastAsia="en-US"/>
              </w:rPr>
              <w:t>protokollēmuma</w:t>
            </w:r>
            <w:proofErr w:type="spellEnd"/>
            <w:r w:rsidRPr="00550DD9">
              <w:rPr>
                <w:rFonts w:eastAsia="Calibri"/>
                <w:lang w:eastAsia="en-US"/>
              </w:rPr>
              <w:t xml:space="preserve"> projekta 8.</w:t>
            </w:r>
            <w:r>
              <w:rPr>
                <w:rFonts w:eastAsia="Calibri"/>
                <w:lang w:eastAsia="en-US"/>
              </w:rPr>
              <w:t xml:space="preserve"> </w:t>
            </w:r>
            <w:r w:rsidRPr="00550DD9">
              <w:rPr>
                <w:rFonts w:eastAsia="Calibri"/>
                <w:lang w:eastAsia="en-US"/>
              </w:rPr>
              <w:t>punktu un informatīvā ziņojuma projektu (1.lpp.), ņemot vērā, ka atbilstoši Ministru kabineta 27.01.04. noteikumu Nr.49 “Labklājības ministrijas nolikums” 24.</w:t>
            </w:r>
            <w:r>
              <w:rPr>
                <w:rFonts w:eastAsia="Calibri"/>
                <w:lang w:eastAsia="en-US"/>
              </w:rPr>
              <w:t xml:space="preserve"> </w:t>
            </w:r>
            <w:r w:rsidRPr="00550DD9">
              <w:rPr>
                <w:rFonts w:eastAsia="Calibri"/>
                <w:lang w:eastAsia="en-US"/>
              </w:rPr>
              <w:t>punktam Veselības un darbspēju ekspertīzes ārstu valsts komisija ir Labklājības ministrijas padotībā</w:t>
            </w:r>
            <w:r>
              <w:rPr>
                <w:rFonts w:eastAsia="Calibri"/>
                <w:lang w:eastAsia="en-US"/>
              </w:rPr>
              <w:t xml:space="preserve"> esoša valsts pārvaldes iestāde.</w:t>
            </w:r>
          </w:p>
          <w:p w14:paraId="637779A6" w14:textId="77777777" w:rsidR="009E474F" w:rsidRDefault="009E474F" w:rsidP="009E474F">
            <w:pPr>
              <w:widowControl w:val="0"/>
              <w:jc w:val="both"/>
              <w:rPr>
                <w:rFonts w:eastAsia="Calibri"/>
                <w:lang w:eastAsia="en-US"/>
              </w:rPr>
            </w:pPr>
          </w:p>
          <w:p w14:paraId="7982B73C" w14:textId="77777777" w:rsidR="009E474F" w:rsidRPr="00877B51" w:rsidRDefault="009E474F" w:rsidP="009E474F">
            <w:pPr>
              <w:widowControl w:val="0"/>
              <w:jc w:val="both"/>
              <w:rPr>
                <w:rFonts w:eastAsia="Calibri"/>
                <w:b/>
                <w:lang w:eastAsia="en-US"/>
              </w:rPr>
            </w:pPr>
            <w:r w:rsidRPr="00550DD9">
              <w:rPr>
                <w:rFonts w:eastAsia="Calibri"/>
                <w:b/>
                <w:lang w:eastAsia="en-US"/>
              </w:rPr>
              <w:t xml:space="preserve"> Labklājības ministrija (24.05.2019. vēstule Nr. 40-1-04/963): </w:t>
            </w:r>
          </w:p>
          <w:p w14:paraId="26BC6226" w14:textId="77777777" w:rsidR="009E474F" w:rsidRDefault="009E474F" w:rsidP="009E474F">
            <w:pPr>
              <w:jc w:val="both"/>
              <w:rPr>
                <w:iCs/>
              </w:rPr>
            </w:pPr>
            <w:r w:rsidRPr="00877B51">
              <w:rPr>
                <w:iCs/>
              </w:rPr>
              <w:t xml:space="preserve">Lūdzam Ministru kabineta sēdes </w:t>
            </w:r>
            <w:proofErr w:type="spellStart"/>
            <w:r w:rsidRPr="00877B51">
              <w:rPr>
                <w:iCs/>
              </w:rPr>
              <w:t>protokollēmuma</w:t>
            </w:r>
            <w:proofErr w:type="spellEnd"/>
            <w:r w:rsidRPr="00877B51">
              <w:rPr>
                <w:iCs/>
              </w:rPr>
              <w:t xml:space="preserve"> projekta 8.</w:t>
            </w:r>
            <w:r>
              <w:rPr>
                <w:iCs/>
              </w:rPr>
              <w:t xml:space="preserve"> </w:t>
            </w:r>
            <w:r w:rsidRPr="00877B51">
              <w:rPr>
                <w:iCs/>
              </w:rPr>
              <w:t>punktā un attiecīgi informatīvā ziņojuma 1.lpp. trešajā rindkopā aizstāt vārdu: “Veselības ar Labklājības”.</w:t>
            </w:r>
          </w:p>
          <w:p w14:paraId="240E0E45" w14:textId="77777777" w:rsidR="009E474F" w:rsidRDefault="009E474F" w:rsidP="009E474F">
            <w:pPr>
              <w:jc w:val="both"/>
              <w:rPr>
                <w:iCs/>
              </w:rPr>
            </w:pPr>
            <w:r>
              <w:rPr>
                <w:iCs/>
              </w:rPr>
              <w:t>S</w:t>
            </w:r>
            <w:r w:rsidRPr="00BA6AF5">
              <w:rPr>
                <w:iCs/>
              </w:rPr>
              <w:t xml:space="preserve">askaņā ar Ministru kabineta 2004.gada 27.janvāra noteikumu Nr.49 „Labklājības ministrijas </w:t>
            </w:r>
            <w:r w:rsidRPr="00BA6AF5">
              <w:rPr>
                <w:iCs/>
              </w:rPr>
              <w:lastRenderedPageBreak/>
              <w:t>nolikums” 24.11.apakšpunktu Veselības un darbspēju ekspertīzes ārstu valsts komisija ir Labklājības ministrijas, nevis Veselības ministrijas padotības iestāde.</w:t>
            </w:r>
          </w:p>
          <w:p w14:paraId="4A4624F6" w14:textId="77777777" w:rsidR="009E474F" w:rsidRPr="00BA6AF5" w:rsidRDefault="009E474F" w:rsidP="009E474F">
            <w:pPr>
              <w:jc w:val="both"/>
              <w:rPr>
                <w:iCs/>
              </w:rPr>
            </w:pPr>
          </w:p>
          <w:p w14:paraId="0004DE8B" w14:textId="77777777" w:rsidR="009E474F" w:rsidRDefault="009E474F" w:rsidP="009E474F">
            <w:pPr>
              <w:widowControl w:val="0"/>
              <w:jc w:val="both"/>
              <w:rPr>
                <w:rFonts w:eastAsia="Calibri"/>
                <w:b/>
                <w:lang w:eastAsia="en-US"/>
              </w:rPr>
            </w:pPr>
            <w:r>
              <w:rPr>
                <w:rFonts w:eastAsia="Calibri"/>
                <w:b/>
                <w:lang w:eastAsia="en-US"/>
              </w:rPr>
              <w:t xml:space="preserve">Veselības ministrija (28.05.2019. vēstule </w:t>
            </w:r>
            <w:r w:rsidRPr="003B464F">
              <w:rPr>
                <w:rFonts w:eastAsia="Calibri"/>
                <w:b/>
                <w:lang w:eastAsia="en-US"/>
              </w:rPr>
              <w:t>01-09/2239</w:t>
            </w:r>
            <w:r>
              <w:rPr>
                <w:rFonts w:eastAsia="Calibri"/>
                <w:b/>
                <w:lang w:eastAsia="en-US"/>
              </w:rPr>
              <w:t>):</w:t>
            </w:r>
          </w:p>
          <w:p w14:paraId="5E52BE5B" w14:textId="55DA208F" w:rsidR="009E474F" w:rsidRPr="003B251D" w:rsidRDefault="009E474F" w:rsidP="009E474F">
            <w:pPr>
              <w:jc w:val="both"/>
              <w:rPr>
                <w:b/>
              </w:rPr>
            </w:pPr>
            <w:r w:rsidRPr="003B464F">
              <w:rPr>
                <w:rFonts w:eastAsia="Calibri"/>
                <w:lang w:eastAsia="en-US"/>
              </w:rPr>
              <w:t xml:space="preserve">Informatīvā ziņojuma trešā rindkopa un </w:t>
            </w:r>
            <w:proofErr w:type="spellStart"/>
            <w:r w:rsidRPr="003B464F">
              <w:rPr>
                <w:rFonts w:eastAsia="Calibri"/>
                <w:lang w:eastAsia="en-US"/>
              </w:rPr>
              <w:t>protokollēmuma</w:t>
            </w:r>
            <w:proofErr w:type="spellEnd"/>
            <w:r w:rsidRPr="003B464F">
              <w:rPr>
                <w:rFonts w:eastAsia="Calibri"/>
                <w:lang w:eastAsia="en-US"/>
              </w:rPr>
              <w:t xml:space="preserve"> 8.punkts paredz Izglītības un zinātnes ministrijai sadarbībā ar Veselības ministriju (Veselības un darbspēju ekspertīzes ārstu valsts komisiju) un pašvaldībām veikt nepieciešamās darbības, lai nodrošināt datu apmaiņu par studējošajiem un pilngadīgām personām ar I vai II invaliditātes grupu, kurām nepieciešams asistenta pakalpojums (izglītībā). Sniedzam informāciju, ka Veselības un darbspēju ekspertīzes ārstu valsts komisija (turpmāk – VDEĀVK) ir labklājības ministra, nevis veselības ministra, pakļautībā esoša tiešās pārvaldes iestāde, tādējādi skaidrojošo iekavu lietojums nav korekts un precizējama redakcija attiecībā uz Veselības ministriju un VDEĀVK. Tāpat no informatīvā ziņojuma redakcijas nav skaidrs, kādam mērķim un kādā apjomā nepieciešams nodrošināt datu apmaiņu starp VDEĀVK, Izglītības </w:t>
            </w:r>
            <w:r w:rsidRPr="003B464F">
              <w:rPr>
                <w:rFonts w:eastAsia="Calibri"/>
                <w:lang w:eastAsia="en-US"/>
              </w:rPr>
              <w:lastRenderedPageBreak/>
              <w:t xml:space="preserve">un zinātnes ministriju un pašvaldībām, kā arī tas, kādas informācijas apmaiņa nepieciešama ar Veselības ministriju. Ņemot vērā minēto, lūdzam papildināt informatīvo ziņojumu ar informāciju, kas pamato informatīvā ziņojuma trešajā rindkopā un </w:t>
            </w:r>
            <w:proofErr w:type="spellStart"/>
            <w:r w:rsidRPr="003B464F">
              <w:rPr>
                <w:rFonts w:eastAsia="Calibri"/>
                <w:lang w:eastAsia="en-US"/>
              </w:rPr>
              <w:t>protokollēmuma</w:t>
            </w:r>
            <w:proofErr w:type="spellEnd"/>
            <w:r w:rsidRPr="003B464F">
              <w:rPr>
                <w:rFonts w:eastAsia="Calibri"/>
                <w:lang w:eastAsia="en-US"/>
              </w:rPr>
              <w:t xml:space="preserve"> 8.punktā noteikto.</w:t>
            </w:r>
          </w:p>
        </w:tc>
        <w:tc>
          <w:tcPr>
            <w:tcW w:w="2977" w:type="dxa"/>
            <w:tcBorders>
              <w:top w:val="single" w:sz="6" w:space="0" w:color="000000"/>
              <w:left w:val="single" w:sz="6" w:space="0" w:color="000000"/>
              <w:bottom w:val="single" w:sz="6" w:space="0" w:color="000000"/>
              <w:right w:val="single" w:sz="6" w:space="0" w:color="000000"/>
            </w:tcBorders>
          </w:tcPr>
          <w:p w14:paraId="2C1FF248" w14:textId="77777777" w:rsidR="009E474F" w:rsidRDefault="009E474F" w:rsidP="009E474F">
            <w:pPr>
              <w:ind w:firstLine="284"/>
              <w:jc w:val="center"/>
              <w:rPr>
                <w:b/>
              </w:rPr>
            </w:pPr>
            <w:r w:rsidRPr="00550DD9">
              <w:rPr>
                <w:b/>
              </w:rPr>
              <w:lastRenderedPageBreak/>
              <w:t>Ņemts vērā</w:t>
            </w:r>
          </w:p>
          <w:p w14:paraId="48FAC8A8" w14:textId="25A463E8" w:rsidR="009E474F" w:rsidRDefault="009E474F" w:rsidP="009E474F">
            <w:pPr>
              <w:jc w:val="both"/>
              <w:rPr>
                <w:b/>
              </w:rPr>
            </w:pPr>
            <w:r>
              <w:t xml:space="preserve">Precizēts </w:t>
            </w:r>
            <w:proofErr w:type="spellStart"/>
            <w:r>
              <w:t>protokollēmuma</w:t>
            </w:r>
            <w:proofErr w:type="spellEnd"/>
            <w:r>
              <w:t xml:space="preserve"> projekts, mainīta punktu numerācija</w:t>
            </w:r>
            <w:r w:rsidR="001D5B48">
              <w:t>.</w:t>
            </w:r>
          </w:p>
        </w:tc>
        <w:tc>
          <w:tcPr>
            <w:tcW w:w="3272" w:type="dxa"/>
            <w:tcBorders>
              <w:top w:val="single" w:sz="4" w:space="0" w:color="auto"/>
              <w:left w:val="single" w:sz="4" w:space="0" w:color="auto"/>
              <w:bottom w:val="single" w:sz="4" w:space="0" w:color="auto"/>
            </w:tcBorders>
          </w:tcPr>
          <w:p w14:paraId="3B4D5D3E" w14:textId="7289E71C" w:rsidR="009E474F" w:rsidRDefault="009E474F" w:rsidP="009E474F">
            <w:pPr>
              <w:jc w:val="both"/>
              <w:rPr>
                <w:i/>
              </w:rPr>
            </w:pPr>
            <w:r>
              <w:t>“</w:t>
            </w:r>
            <w:r w:rsidRPr="00E27B18">
              <w:t>7.</w:t>
            </w:r>
            <w:r w:rsidRPr="009E474F">
              <w:rPr>
                <w:rFonts w:eastAsiaTheme="minorHAnsi"/>
                <w:sz w:val="28"/>
                <w:szCs w:val="28"/>
                <w:lang w:eastAsia="en-US"/>
              </w:rPr>
              <w:t xml:space="preserve"> </w:t>
            </w:r>
            <w:r w:rsidRPr="009E474F">
              <w:t>Izglītības un zinātnes ministrijai sadarbībā ar Labklājības ministriju (Veselības un darbspēju ekspertīzes ārstu valsts komisiju) un pašvaldībām līdz 201. gada 31. augustam veikt nepieciešamās darbības, lai, sākot ar 2019. gada 1. septembri, nodrošināt datu apmaiņu par studējošajiem un pilngadīgām personām ar I vai II invaliditātes grupu, kurām nepieciešams asistenta pakalpojums (izglītībā).</w:t>
            </w:r>
            <w:r>
              <w:t>”</w:t>
            </w:r>
          </w:p>
          <w:p w14:paraId="7307536F" w14:textId="77777777" w:rsidR="009E474F" w:rsidRPr="00595A86" w:rsidRDefault="009E474F" w:rsidP="009E474F">
            <w:pPr>
              <w:jc w:val="both"/>
            </w:pPr>
          </w:p>
        </w:tc>
      </w:tr>
      <w:tr w:rsidR="001D5B48" w:rsidRPr="001801C2" w14:paraId="1D11FEFB"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3ABD5095" w14:textId="3FB75770" w:rsidR="001D5B48" w:rsidRPr="001801C2" w:rsidRDefault="00AC2552" w:rsidP="001D5B48">
            <w:pPr>
              <w:jc w:val="center"/>
            </w:pPr>
            <w:r>
              <w:lastRenderedPageBreak/>
              <w:t>4</w:t>
            </w:r>
          </w:p>
        </w:tc>
        <w:tc>
          <w:tcPr>
            <w:tcW w:w="3260" w:type="dxa"/>
            <w:tcBorders>
              <w:top w:val="single" w:sz="6" w:space="0" w:color="000000"/>
              <w:left w:val="single" w:sz="6" w:space="0" w:color="000000"/>
              <w:bottom w:val="single" w:sz="6" w:space="0" w:color="000000"/>
              <w:right w:val="single" w:sz="6" w:space="0" w:color="000000"/>
            </w:tcBorders>
          </w:tcPr>
          <w:p w14:paraId="4714CAEA" w14:textId="77777777" w:rsidR="001D5B48" w:rsidRDefault="001D5B48" w:rsidP="001D5B48">
            <w:pPr>
              <w:rPr>
                <w:i/>
              </w:rPr>
            </w:pPr>
            <w:r>
              <w:rPr>
                <w:i/>
              </w:rPr>
              <w:t>Projekts</w:t>
            </w:r>
          </w:p>
          <w:p w14:paraId="37AB6630" w14:textId="238C4A2E" w:rsidR="001D5B48" w:rsidRPr="00E879CF" w:rsidRDefault="001D5B48" w:rsidP="001D5B48">
            <w:pPr>
              <w:jc w:val="both"/>
              <w:rPr>
                <w:i/>
              </w:rPr>
            </w:pPr>
          </w:p>
        </w:tc>
        <w:tc>
          <w:tcPr>
            <w:tcW w:w="3827" w:type="dxa"/>
            <w:gridSpan w:val="2"/>
            <w:tcBorders>
              <w:top w:val="single" w:sz="6" w:space="0" w:color="000000"/>
              <w:left w:val="single" w:sz="6" w:space="0" w:color="000000"/>
              <w:bottom w:val="single" w:sz="6" w:space="0" w:color="000000"/>
              <w:right w:val="single" w:sz="6" w:space="0" w:color="000000"/>
            </w:tcBorders>
          </w:tcPr>
          <w:p w14:paraId="03B942E3" w14:textId="77777777" w:rsidR="001D5B48" w:rsidRPr="003B251D" w:rsidRDefault="001D5B48" w:rsidP="001D5B48">
            <w:pPr>
              <w:jc w:val="both"/>
              <w:rPr>
                <w:b/>
              </w:rPr>
            </w:pPr>
            <w:r w:rsidRPr="003B251D">
              <w:rPr>
                <w:b/>
              </w:rPr>
              <w:t>Finanšu ministrija (29.05.2019. vēstule Nr. 12/A-2/2486):</w:t>
            </w:r>
          </w:p>
          <w:p w14:paraId="70C52D2C" w14:textId="7547A3B4" w:rsidR="001D5B48" w:rsidRPr="00550DD9" w:rsidRDefault="001D5B48" w:rsidP="001D5B48">
            <w:pPr>
              <w:widowControl w:val="0"/>
              <w:jc w:val="both"/>
              <w:rPr>
                <w:rFonts w:eastAsia="Calibri"/>
                <w:lang w:eastAsia="en-US"/>
              </w:rPr>
            </w:pPr>
            <w:r w:rsidRPr="00A76C28">
              <w:rPr>
                <w:rFonts w:eastAsia="Calibri"/>
              </w:rPr>
              <w:t xml:space="preserve">Vienlaikus vēršam uzmanību, ka būtisks ir Labklājības ministrijas un Latvijas Pašvaldību savienības viedoklis par informatīvā ziņojuma projektu un </w:t>
            </w:r>
            <w:proofErr w:type="spellStart"/>
            <w:r w:rsidRPr="00A76C28">
              <w:rPr>
                <w:rFonts w:eastAsia="Calibri"/>
              </w:rPr>
              <w:t>protokollēmuma</w:t>
            </w:r>
            <w:proofErr w:type="spellEnd"/>
            <w:r w:rsidRPr="00A76C28">
              <w:rPr>
                <w:rFonts w:eastAsia="Calibri"/>
              </w:rPr>
              <w:t xml:space="preserve"> projektu, ņemot vērā tajos dotos uzdevumus.</w:t>
            </w:r>
          </w:p>
        </w:tc>
        <w:tc>
          <w:tcPr>
            <w:tcW w:w="2977" w:type="dxa"/>
            <w:tcBorders>
              <w:top w:val="single" w:sz="6" w:space="0" w:color="000000"/>
              <w:left w:val="single" w:sz="6" w:space="0" w:color="000000"/>
              <w:bottom w:val="single" w:sz="6" w:space="0" w:color="000000"/>
              <w:right w:val="single" w:sz="6" w:space="0" w:color="000000"/>
            </w:tcBorders>
          </w:tcPr>
          <w:p w14:paraId="586014CB" w14:textId="77777777" w:rsidR="001D5B48" w:rsidRDefault="001D5B48" w:rsidP="001D5B48">
            <w:pPr>
              <w:ind w:firstLine="284"/>
              <w:jc w:val="center"/>
              <w:rPr>
                <w:rFonts w:eastAsia="Calibri"/>
              </w:rPr>
            </w:pPr>
            <w:r w:rsidRPr="00550DD9">
              <w:rPr>
                <w:b/>
              </w:rPr>
              <w:t>Ņemts vērā</w:t>
            </w:r>
            <w:r>
              <w:rPr>
                <w:rFonts w:eastAsia="Calibri"/>
              </w:rPr>
              <w:t xml:space="preserve"> </w:t>
            </w:r>
          </w:p>
          <w:p w14:paraId="07A968C3" w14:textId="790A98DE" w:rsidR="001D5B48" w:rsidRPr="00D40CB4" w:rsidRDefault="001D5B48" w:rsidP="001D5B48">
            <w:pPr>
              <w:ind w:firstLine="284"/>
              <w:jc w:val="both"/>
            </w:pPr>
            <w:r>
              <w:rPr>
                <w:rFonts w:eastAsia="Calibri"/>
              </w:rPr>
              <w:t>Informatīvā ziņojuma projekts</w:t>
            </w:r>
            <w:r w:rsidRPr="00A76C28">
              <w:rPr>
                <w:rFonts w:eastAsia="Calibri"/>
              </w:rPr>
              <w:t xml:space="preserve"> un </w:t>
            </w:r>
            <w:proofErr w:type="spellStart"/>
            <w:r w:rsidRPr="00A76C28">
              <w:rPr>
                <w:rFonts w:eastAsia="Calibri"/>
              </w:rPr>
              <w:t>protokollēmuma</w:t>
            </w:r>
            <w:proofErr w:type="spellEnd"/>
            <w:r>
              <w:rPr>
                <w:rFonts w:eastAsia="Calibri"/>
              </w:rPr>
              <w:t xml:space="preserve"> projekts</w:t>
            </w:r>
            <w:r w:rsidRPr="00A76C28">
              <w:rPr>
                <w:rFonts w:eastAsia="Calibri"/>
              </w:rPr>
              <w:t>, ņ</w:t>
            </w:r>
            <w:r>
              <w:rPr>
                <w:rFonts w:eastAsia="Calibri"/>
              </w:rPr>
              <w:t>emot vērā tajos dotos uzdevumus, tika nosūtīts arī Labklājības ministrijai un ir ņemts vērā to viedoklis. Pēc informatīvā ziņojuma projekta</w:t>
            </w:r>
            <w:r w:rsidRPr="00A76C28">
              <w:rPr>
                <w:rFonts w:eastAsia="Calibri"/>
              </w:rPr>
              <w:t xml:space="preserve"> un </w:t>
            </w:r>
            <w:proofErr w:type="spellStart"/>
            <w:r w:rsidRPr="00A76C28">
              <w:rPr>
                <w:rFonts w:eastAsia="Calibri"/>
              </w:rPr>
              <w:t>protokollēmuma</w:t>
            </w:r>
            <w:proofErr w:type="spellEnd"/>
            <w:r>
              <w:rPr>
                <w:rFonts w:eastAsia="Calibri"/>
              </w:rPr>
              <w:t xml:space="preserve"> precizēšanās, šie dokumenti tiks nosūtīti viedokļa saņemšanai arī Latvijas Pašvaldību savienībai.</w:t>
            </w:r>
          </w:p>
        </w:tc>
        <w:tc>
          <w:tcPr>
            <w:tcW w:w="3272" w:type="dxa"/>
            <w:tcBorders>
              <w:top w:val="single" w:sz="4" w:space="0" w:color="auto"/>
              <w:left w:val="single" w:sz="4" w:space="0" w:color="auto"/>
              <w:bottom w:val="single" w:sz="4" w:space="0" w:color="auto"/>
            </w:tcBorders>
          </w:tcPr>
          <w:p w14:paraId="5DBC54E7" w14:textId="269776C9" w:rsidR="001D5B48" w:rsidRPr="005F5C7A" w:rsidRDefault="001D5B48" w:rsidP="001D5B48">
            <w:pPr>
              <w:jc w:val="both"/>
              <w:rPr>
                <w:i/>
              </w:rPr>
            </w:pPr>
            <w:r>
              <w:rPr>
                <w:rFonts w:eastAsia="Calibri"/>
              </w:rPr>
              <w:t>Projekts</w:t>
            </w:r>
          </w:p>
        </w:tc>
      </w:tr>
      <w:tr w:rsidR="001D5B48" w:rsidRPr="001801C2" w14:paraId="6822CAD8" w14:textId="77777777" w:rsidTr="002456E7">
        <w:trPr>
          <w:gridBefore w:val="1"/>
          <w:wBefore w:w="104" w:type="dxa"/>
          <w:trHeight w:val="552"/>
        </w:trPr>
        <w:tc>
          <w:tcPr>
            <w:tcW w:w="843" w:type="dxa"/>
            <w:tcBorders>
              <w:top w:val="single" w:sz="6" w:space="0" w:color="000000"/>
              <w:left w:val="single" w:sz="6" w:space="0" w:color="000000"/>
              <w:bottom w:val="single" w:sz="6" w:space="0" w:color="000000"/>
              <w:right w:val="single" w:sz="6" w:space="0" w:color="000000"/>
            </w:tcBorders>
          </w:tcPr>
          <w:p w14:paraId="566FAD96" w14:textId="24EE836D" w:rsidR="001D5B48" w:rsidRDefault="00AC2552" w:rsidP="001D5B48">
            <w:pPr>
              <w:pStyle w:val="naisc"/>
              <w:spacing w:before="0" w:after="0"/>
              <w:ind w:left="360"/>
              <w:jc w:val="left"/>
            </w:pPr>
            <w:r>
              <w:t>5</w:t>
            </w:r>
          </w:p>
        </w:tc>
        <w:tc>
          <w:tcPr>
            <w:tcW w:w="3260" w:type="dxa"/>
            <w:tcBorders>
              <w:top w:val="single" w:sz="6" w:space="0" w:color="000000"/>
              <w:left w:val="single" w:sz="6" w:space="0" w:color="000000"/>
              <w:bottom w:val="single" w:sz="6" w:space="0" w:color="000000"/>
              <w:right w:val="single" w:sz="6" w:space="0" w:color="000000"/>
            </w:tcBorders>
          </w:tcPr>
          <w:p w14:paraId="1AEE2F1C" w14:textId="6DB05F0D" w:rsidR="001D5B48" w:rsidRPr="009454D5" w:rsidRDefault="001D5B48" w:rsidP="001D5B48">
            <w:pPr>
              <w:jc w:val="both"/>
            </w:pPr>
            <w:r>
              <w:rPr>
                <w:i/>
              </w:rPr>
              <w:t>Projekts</w:t>
            </w:r>
          </w:p>
        </w:tc>
        <w:tc>
          <w:tcPr>
            <w:tcW w:w="3827" w:type="dxa"/>
            <w:gridSpan w:val="2"/>
            <w:tcBorders>
              <w:top w:val="single" w:sz="6" w:space="0" w:color="000000"/>
              <w:left w:val="single" w:sz="6" w:space="0" w:color="000000"/>
              <w:bottom w:val="single" w:sz="6" w:space="0" w:color="000000"/>
              <w:right w:val="single" w:sz="6" w:space="0" w:color="000000"/>
            </w:tcBorders>
          </w:tcPr>
          <w:p w14:paraId="223B7913" w14:textId="77777777" w:rsidR="001D5B48" w:rsidRPr="0042363A" w:rsidRDefault="001D5B48" w:rsidP="001D5B48">
            <w:pPr>
              <w:widowControl w:val="0"/>
              <w:ind w:firstLine="33"/>
              <w:jc w:val="both"/>
              <w:outlineLvl w:val="0"/>
              <w:rPr>
                <w:rFonts w:eastAsia="Calibri"/>
                <w:b/>
                <w:lang w:eastAsia="en-US"/>
              </w:rPr>
            </w:pPr>
            <w:proofErr w:type="spellStart"/>
            <w:r w:rsidRPr="0042363A">
              <w:rPr>
                <w:rFonts w:eastAsia="Calibri"/>
                <w:b/>
                <w:lang w:eastAsia="en-US"/>
              </w:rPr>
              <w:t>Pārresoru</w:t>
            </w:r>
            <w:proofErr w:type="spellEnd"/>
            <w:r w:rsidRPr="0042363A">
              <w:rPr>
                <w:rFonts w:eastAsia="Calibri"/>
                <w:b/>
                <w:lang w:eastAsia="en-US"/>
              </w:rPr>
              <w:t xml:space="preserve"> koordinācijas centrs (31.05.2019. vēstule nr. </w:t>
            </w:r>
            <w:r w:rsidRPr="0042363A">
              <w:rPr>
                <w:b/>
              </w:rPr>
              <w:t>Nr.1.2–7/61</w:t>
            </w:r>
            <w:r w:rsidRPr="0042363A">
              <w:rPr>
                <w:rFonts w:eastAsia="Calibri"/>
                <w:b/>
                <w:lang w:eastAsia="en-US"/>
              </w:rPr>
              <w:t>):</w:t>
            </w:r>
          </w:p>
          <w:p w14:paraId="5EA09169" w14:textId="77777777" w:rsidR="001D5B48" w:rsidRPr="0042363A" w:rsidRDefault="001D5B48" w:rsidP="001D5B48">
            <w:pPr>
              <w:widowControl w:val="0"/>
              <w:ind w:firstLine="33"/>
              <w:jc w:val="both"/>
              <w:outlineLvl w:val="0"/>
              <w:rPr>
                <w:rFonts w:eastAsia="Calibri"/>
                <w:b/>
                <w:lang w:eastAsia="en-US"/>
              </w:rPr>
            </w:pPr>
            <w:r w:rsidRPr="0042363A">
              <w:rPr>
                <w:rFonts w:eastAsia="Calibri"/>
                <w:lang w:eastAsia="en-US"/>
              </w:rPr>
              <w:t xml:space="preserve">PKC ir izskatījis Izglītības un zinātnes ministrijas (turpmāk – ministrija) sagatavoto informatīvā ziņojuma „Asistenta pakalpojums augstākās izglītības posmā” projektu (turpmāk – ziņojuma projekts), tam pievienoto Ministru kabineta sēdes </w:t>
            </w:r>
            <w:proofErr w:type="spellStart"/>
            <w:r w:rsidRPr="0042363A">
              <w:rPr>
                <w:rFonts w:eastAsia="Calibri"/>
                <w:lang w:eastAsia="en-US"/>
              </w:rPr>
              <w:t>protokollēmuma</w:t>
            </w:r>
            <w:proofErr w:type="spellEnd"/>
            <w:r w:rsidRPr="0042363A">
              <w:rPr>
                <w:rFonts w:eastAsia="Calibri"/>
                <w:lang w:eastAsia="en-US"/>
              </w:rPr>
              <w:t xml:space="preserve"> projektu un izsaka </w:t>
            </w:r>
            <w:r w:rsidRPr="0042363A">
              <w:rPr>
                <w:rFonts w:eastAsia="Calibri"/>
                <w:lang w:eastAsia="en-US"/>
              </w:rPr>
              <w:lastRenderedPageBreak/>
              <w:t>šādu konceptuālu iebildumu – ņemot vērā, ka pašvaldības pilnvaru apjoms augstākās izglītības jomā būtiski atšķiras no tai noteiktās kompetences citos izglītības līmeņos, lūdzam papildināt ziņojuma projektu, ietverot tajā pilnīgu skaidrojumu par to, kā ministrija ir iecerējusi organizēt asistenta pakalpojumu augstākās izglītības posmā, piem., (1) kas būs asistents un asistenta pakalpojuma sniedzējs, ja dzīvesvieta un izglītības iestādes atrašanās vieta būs citās pašvaldībās, (2) konkrēti, kāda būs augstskolu un pašvaldību loma asistenta pakalpojuma nodrošināšanā attiecīgā izglītības iestādē, (3) vai ir apzināti ziņojuma projektā ietvertā priekšlikuma ierobežojumi.</w:t>
            </w:r>
          </w:p>
          <w:p w14:paraId="04EDBC96" w14:textId="50F75C3C" w:rsidR="001D5B48" w:rsidRPr="003D7B8F" w:rsidRDefault="001D5B48" w:rsidP="001D5B48">
            <w:pPr>
              <w:widowControl w:val="0"/>
              <w:jc w:val="both"/>
              <w:rPr>
                <w:rFonts w:eastAsia="Calibri"/>
                <w:b/>
                <w:lang w:eastAsia="en-US"/>
              </w:rPr>
            </w:pPr>
            <w:r w:rsidRPr="0042363A">
              <w:rPr>
                <w:rFonts w:eastAsia="Calibri"/>
                <w:lang w:eastAsia="en-US"/>
              </w:rPr>
              <w:t xml:space="preserve">Papildus izsakām šādu priekšlikumu – ņemot vērā ziņojuma projekta saturu, aicinām to saskaņot ar Latvijas Pašvaldību savienību, Latvijas Studentu apvienību un augstskolu organizāciju pārstāvjiem. </w:t>
            </w:r>
          </w:p>
        </w:tc>
        <w:tc>
          <w:tcPr>
            <w:tcW w:w="2977" w:type="dxa"/>
            <w:tcBorders>
              <w:top w:val="single" w:sz="6" w:space="0" w:color="000000"/>
              <w:left w:val="single" w:sz="6" w:space="0" w:color="000000"/>
              <w:bottom w:val="single" w:sz="6" w:space="0" w:color="000000"/>
              <w:right w:val="single" w:sz="6" w:space="0" w:color="000000"/>
            </w:tcBorders>
          </w:tcPr>
          <w:p w14:paraId="3C9A43A3" w14:textId="77777777" w:rsidR="001D5B48" w:rsidRPr="0042363A" w:rsidRDefault="001D5B48" w:rsidP="001D5B48">
            <w:pPr>
              <w:ind w:firstLine="284"/>
              <w:jc w:val="center"/>
              <w:rPr>
                <w:b/>
              </w:rPr>
            </w:pPr>
            <w:r w:rsidRPr="0042363A">
              <w:rPr>
                <w:b/>
              </w:rPr>
              <w:lastRenderedPageBreak/>
              <w:t>Ņemts vērā pēc būtības</w:t>
            </w:r>
          </w:p>
          <w:p w14:paraId="052195E4" w14:textId="77777777" w:rsidR="001D5B48" w:rsidRPr="0042363A" w:rsidRDefault="001D5B48" w:rsidP="001D5B48">
            <w:pPr>
              <w:ind w:firstLine="284"/>
              <w:jc w:val="both"/>
            </w:pPr>
            <w:r w:rsidRPr="0042363A">
              <w:t xml:space="preserve"> Jau šobrīd saskaņā Ministru kabineta 2012. gada 18. decembra noteikumos Nr. 942 “Kārtība, kādā piešķir un finansē asistenta pakalpojumu pašvaldībā” (turpmāk – Noteikumi) noteikto asistenta pakalpojumu augstākās </w:t>
            </w:r>
            <w:r w:rsidRPr="0042363A">
              <w:lastRenderedPageBreak/>
              <w:t xml:space="preserve">izglītības iegūšanai var saņemt personas ar I invaliditātes grupu, kurām ir redzes funkcionālie traucējumi. Noteikumu 1. pielikuma “Kritēriji asistenta pakalpojuma apjoma noteikšanai” 3. punkts noteic, ka asistenta pakalpojumu, lai iegūtu augstāko izglītību, personām ar I invaliditātes grupu ar redzes funkcionālajiem traucējumiem piešķir atbilstoši laikam, kas nepieciešams, lai nokļūtu uz izglītības iestādi un atpakaļ un palīdzētu apgūt izglītības programmu, bet kopumā ne vairāk par 40 stundām nedēļā. Atbilstoši Valsts sociālās politikas monitoringa informācijas sistēmas (SPOLIS) datiem 2018. gadā asistenta pakalpojumu pašvaldībā šim mērķim saņēma deviņas personas. Asistenta pakalpojumu augstākās izglītības iegūšanai personām ar I invaliditātes grupu ar redzes funkcionālajiem traucējumiem pašvaldību </w:t>
            </w:r>
            <w:r w:rsidRPr="0042363A">
              <w:lastRenderedPageBreak/>
              <w:t xml:space="preserve">sociālie dienesti nodrošina vispārīgā kārtībā, saskaņā ar Noteikumu normām. </w:t>
            </w:r>
          </w:p>
          <w:p w14:paraId="747FFEDA" w14:textId="77777777" w:rsidR="001D5B48" w:rsidRPr="0042363A" w:rsidRDefault="001D5B48" w:rsidP="001D5B48">
            <w:pPr>
              <w:ind w:firstLine="284"/>
              <w:jc w:val="both"/>
            </w:pPr>
            <w:r w:rsidRPr="0042363A">
              <w:t>Lai nodrošinātu asistenta pakalpojuma saņemšanu augstākās izglītības posmā visām studējošām personām ar invaliditāti, kurām nepieciešama palīdzība pārvietošanās atbalstam un pašaprūpei, ir jāveic grozījumi Noteikumos nosakot, ka Noteikumus piemēro arī nodrošinot asistenta pakalpojumu augstākās izglītības iestādē un paplašinot mērķa grupu 1. pielikuma 3. punktā noteiktajam pasākumam [Iegūst augstāko izglītību (attiecas tikai uz personām ar I grupas redzes invaliditāti)]. Tādejādi asistenta pakalpojumu augstākās izglītības iestādēs personām ar invaliditāti nodrošinās pašvaldību sociālie dienesti, tādā pašā kārtībā kā tas jau tiek nodrošināts personām ar I invaliditātes grupu ar redzes funkcionālajiem traucējumiem.</w:t>
            </w:r>
          </w:p>
          <w:p w14:paraId="6D60E5C8" w14:textId="77777777" w:rsidR="001D5B48" w:rsidRPr="0042363A" w:rsidRDefault="001D5B48" w:rsidP="001D5B48">
            <w:pPr>
              <w:ind w:firstLine="284"/>
              <w:jc w:val="both"/>
            </w:pPr>
            <w:r w:rsidRPr="0042363A">
              <w:t xml:space="preserve">Vienlaikus informējam, ka saskaņā ar Noteikumu 3. </w:t>
            </w:r>
            <w:r w:rsidRPr="0042363A">
              <w:lastRenderedPageBreak/>
              <w:t>punktu asistenta pakalpojumu ir tiesīga sniegt jebkura fiziska persona, kurai ir darba vai personiskā pieredze saskarsmē ar personu ar invaliditāti, tādējādi nodrošinot iespējami plašu personu loku, kuras var sniegt asistenta pakalpojumu. Turklāt pašvaldības sociālais dienests ir tiesīgs slēgt līgumu par asistenta pakalpojumu ar juridisku personu, kura spēj nodrošināt, ka pakalpojumu sniedz asistenti, kuriem ir darba vai personiskā pieredze saskarsmē ar personām ar invaliditāti.</w:t>
            </w:r>
          </w:p>
          <w:p w14:paraId="395C1BC6" w14:textId="77777777" w:rsidR="001D5B48" w:rsidRPr="0042363A" w:rsidRDefault="001D5B48" w:rsidP="001D5B48">
            <w:pPr>
              <w:ind w:firstLine="284"/>
              <w:jc w:val="both"/>
            </w:pPr>
            <w:r w:rsidRPr="0042363A">
              <w:t xml:space="preserve">Savukārt Noteikumu 4. punkts noteic, ka asistenta pakalpojumu nodrošina personas deklarētās dzīvesvietas sociālais dienests, taču Noteikumi neierobežo iespēju personai vai pašvaldības sociālajam dienestam izvēlēties asistentu no jebkuras vietas Latvijā. Ja personas ar invaliditāti dzīvesvieta un augstākās izglītības iegūšanas vieta ir dažādās </w:t>
            </w:r>
            <w:r w:rsidRPr="0042363A">
              <w:lastRenderedPageBreak/>
              <w:t xml:space="preserve">pašvaldībās, personas deklarētās dzīvesvietas sociālais dienests līgumu par asistenta pakalpojuma sniegšanu var  slēgt ar vienu vai vairākiem asistentiem, pēc asistenta pakalpojuma saņēmēja izvēles, individuāli organizējot asistenta pakalpojuma nodrošināšanu atbilstoši klienta pārvietošanās vajadzībām. </w:t>
            </w:r>
          </w:p>
          <w:p w14:paraId="1DA246FC" w14:textId="77777777" w:rsidR="001D5B48" w:rsidRPr="0042363A" w:rsidRDefault="001D5B48" w:rsidP="001D5B48">
            <w:pPr>
              <w:ind w:firstLine="284"/>
              <w:jc w:val="both"/>
            </w:pPr>
            <w:r w:rsidRPr="0042363A">
              <w:t xml:space="preserve">Dzīvesvietas deklarēšanas likuma 4. panta pirmā daļa noteic, ka dzīvesvietas maiņas gadījumā personas pienākums ir mēneša laikā, kopš tā pastāvīgi dzīvo jaunajā dzīvesvietā, deklarēt to dzīvesvietas deklarēšanas iestādē, savukārt saskaņā ar 8. panta ceturto daļu  personai ir tiesības deklarācijā norādīt papildu adresi (adreses), minot laikposmu, kurā viņš tajā (tajās) ir sasniedzams. Līdz ar to,  ja persona ar invaliditāti studiju laikā izvēlās uz laiku dzīvot pašvaldībā, kurā atrodas augstākās izglītības iestāde, un deklarējot dzīvesvietu, uz </w:t>
            </w:r>
            <w:r w:rsidRPr="0042363A">
              <w:lastRenderedPageBreak/>
              <w:t>noteiktu laiku ir norādījusi papildu adresi šajā pašvaldībā, personas var lūgt piešķirt asistenta pakalpojumu tās pašvaldības sociālajā dienestā, kurā atrodas augstākās izglītības iestāde.</w:t>
            </w:r>
          </w:p>
          <w:p w14:paraId="7589F308" w14:textId="77777777" w:rsidR="001D5B48" w:rsidRPr="0042363A" w:rsidRDefault="001D5B48" w:rsidP="001D5B48">
            <w:pPr>
              <w:ind w:firstLine="284"/>
              <w:jc w:val="both"/>
            </w:pPr>
            <w:r w:rsidRPr="0042363A">
              <w:t>Informatīvā ziņojuma “Asistenta pakalpojums augstākās izglītības posmā” piedāvājums paredz, ka asistenta pakalpojumu augstākās izglītības iestādē nodrošinās (pieņems lēmumu, slēgs līgumu ar asistenta pakalpojuma pieprasītāju un asistenta pakalpojuma sniedzēju, kontrolēs līguma saistību izpildi) pašvaldības sociālais dienests, savukārt augstskolas pienākums būs apliecināt, ka asistenta pakalpojuma saņēmējs apgūst attiecīgo izglītības programmu.</w:t>
            </w:r>
          </w:p>
          <w:p w14:paraId="483D70AB" w14:textId="77777777" w:rsidR="001D5B48" w:rsidRPr="0042363A" w:rsidRDefault="001D5B48" w:rsidP="001D5B48">
            <w:pPr>
              <w:ind w:firstLine="284"/>
              <w:jc w:val="both"/>
            </w:pPr>
            <w:r w:rsidRPr="0042363A">
              <w:t xml:space="preserve">Vienlaikus informējam, ka Labklājības ministrija ir identificējusi vairākus nepilnības spēkā esošajā asistenta pakalpojuma pašvaldībā piešķiršanas un administrēšanas kārtībā, taču </w:t>
            </w:r>
            <w:r w:rsidRPr="0042363A">
              <w:lastRenderedPageBreak/>
              <w:t>šīs nepilnības nav iespējams novērst veicot uzlabojumus esošajā asistenta pakalpojuma nodrošināšanas modelī, tāpēc tiek gatavotas vērienīgākas izmaiņas šī pakalpojuma nodrošināšanas kārtībā. Būtiskākās nepilnības asistenta pakalpojuma pašvaldībā nodrošināšanas kārībā ir:</w:t>
            </w:r>
          </w:p>
          <w:p w14:paraId="78182636" w14:textId="77777777" w:rsidR="001D5B48" w:rsidRPr="0042363A" w:rsidRDefault="001D5B48" w:rsidP="001D5B48">
            <w:pPr>
              <w:ind w:firstLine="284"/>
              <w:jc w:val="both"/>
            </w:pPr>
            <w:r w:rsidRPr="0042363A">
              <w:t>1.</w:t>
            </w:r>
            <w:r w:rsidRPr="0042363A">
              <w:tab/>
              <w:t>Nepilnīga asistenta pakalpojuma nepieciešamības noteikšanas kārtība.</w:t>
            </w:r>
          </w:p>
          <w:p w14:paraId="517EDA81" w14:textId="77777777" w:rsidR="001D5B48" w:rsidRPr="0042363A" w:rsidRDefault="001D5B48" w:rsidP="001D5B48">
            <w:pPr>
              <w:ind w:firstLine="284"/>
              <w:jc w:val="both"/>
            </w:pPr>
            <w:r w:rsidRPr="0042363A">
              <w:t>2.</w:t>
            </w:r>
            <w:r w:rsidRPr="0042363A">
              <w:tab/>
              <w:t>Nesamērīgs administratīvais slogs asistentiem, pakalpojuma saņēmējiem un sociālajiem dienestiem, jo esošais regulējums paredz pierādīt sniegto/saņemto stundu skaitu.</w:t>
            </w:r>
          </w:p>
          <w:p w14:paraId="57BCBE03" w14:textId="0A916E7E" w:rsidR="001D5B48" w:rsidRPr="003D7B8F" w:rsidRDefault="001D5B48" w:rsidP="001D5B48">
            <w:pPr>
              <w:ind w:firstLine="284"/>
              <w:jc w:val="both"/>
              <w:rPr>
                <w:b/>
              </w:rPr>
            </w:pPr>
            <w:r w:rsidRPr="0042363A">
              <w:t xml:space="preserve">Labklājības ministrija šī gada jūlija mēnesī plāno iesniegt konceptuālo ziņojumu valdībā par plānotajām izmaiņām asistenta pakalpojuma nodrošināšanā. Taču, lai ievērotu Invaliditātes likumā noteikto un nodrošinātu iespēju asistenta pakalpojumu augstākās </w:t>
            </w:r>
            <w:r w:rsidRPr="0042363A">
              <w:lastRenderedPageBreak/>
              <w:t>izglītības iestādē personām ar invaliditāti saņemt no 2019.gada 1.septembra, ir nepieciešams tūlītējs risinājums, kas nodrošina reālu iespēju studējošām personām ar invaliditāti saņemt asistenta pakalpojumu augstākās izglītības iestādē.</w:t>
            </w:r>
          </w:p>
        </w:tc>
        <w:tc>
          <w:tcPr>
            <w:tcW w:w="3272" w:type="dxa"/>
            <w:tcBorders>
              <w:top w:val="single" w:sz="6" w:space="0" w:color="000000"/>
              <w:left w:val="single" w:sz="6" w:space="0" w:color="000000"/>
              <w:bottom w:val="single" w:sz="6" w:space="0" w:color="000000"/>
              <w:right w:val="single" w:sz="6" w:space="0" w:color="000000"/>
            </w:tcBorders>
          </w:tcPr>
          <w:p w14:paraId="7ED262BC" w14:textId="26029E8D" w:rsidR="001D5B48" w:rsidRPr="009454D5" w:rsidRDefault="001D5B48" w:rsidP="001D5B48">
            <w:pPr>
              <w:jc w:val="both"/>
              <w:rPr>
                <w:rFonts w:eastAsia="Calibri"/>
              </w:rPr>
            </w:pPr>
            <w:r>
              <w:rPr>
                <w:rFonts w:eastAsia="Calibri"/>
              </w:rPr>
              <w:lastRenderedPageBreak/>
              <w:t>Ar minēto informāciju papildināts informatīvā ziņojuma projekts.</w:t>
            </w:r>
          </w:p>
        </w:tc>
      </w:tr>
      <w:tr w:rsidR="005E48D7" w:rsidRPr="001801C2" w14:paraId="759FE892"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19CCA6C0" w14:textId="1915B1BF" w:rsidR="005E48D7" w:rsidRPr="001801C2" w:rsidRDefault="00AC2552" w:rsidP="005E48D7">
            <w:pPr>
              <w:ind w:left="360"/>
              <w:jc w:val="right"/>
            </w:pPr>
            <w:r>
              <w:lastRenderedPageBreak/>
              <w:t>6</w:t>
            </w:r>
          </w:p>
        </w:tc>
        <w:tc>
          <w:tcPr>
            <w:tcW w:w="3260" w:type="dxa"/>
            <w:tcBorders>
              <w:top w:val="single" w:sz="4" w:space="0" w:color="auto"/>
              <w:left w:val="single" w:sz="6" w:space="0" w:color="000000"/>
              <w:bottom w:val="single" w:sz="4" w:space="0" w:color="auto"/>
              <w:right w:val="single" w:sz="6" w:space="0" w:color="000000"/>
            </w:tcBorders>
          </w:tcPr>
          <w:p w14:paraId="5B25C4E7" w14:textId="4DFD4AA7" w:rsidR="005E48D7" w:rsidRPr="00E879CF" w:rsidRDefault="005E48D7" w:rsidP="005E48D7">
            <w:pPr>
              <w:jc w:val="both"/>
              <w:rPr>
                <w:i/>
              </w:rPr>
            </w:pPr>
            <w:proofErr w:type="spellStart"/>
            <w:r w:rsidRPr="00993048">
              <w:rPr>
                <w:i/>
              </w:rPr>
              <w:t>P</w:t>
            </w:r>
            <w:r>
              <w:rPr>
                <w:i/>
              </w:rPr>
              <w:t>rotokollēmuma</w:t>
            </w:r>
            <w:proofErr w:type="spellEnd"/>
            <w:r>
              <w:rPr>
                <w:i/>
              </w:rPr>
              <w:t xml:space="preserve"> p</w:t>
            </w:r>
            <w:r w:rsidRPr="00993048">
              <w:rPr>
                <w:i/>
              </w:rPr>
              <w:t>rojekts</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tcPr>
          <w:p w14:paraId="5001876F" w14:textId="77777777" w:rsidR="005E48D7" w:rsidRDefault="005E48D7" w:rsidP="005E48D7">
            <w:pPr>
              <w:widowControl w:val="0"/>
              <w:jc w:val="both"/>
              <w:rPr>
                <w:rFonts w:eastAsia="Calibri"/>
                <w:b/>
                <w:lang w:eastAsia="en-US"/>
              </w:rPr>
            </w:pPr>
            <w:r w:rsidRPr="00550DD9">
              <w:rPr>
                <w:rFonts w:eastAsia="Calibri"/>
                <w:b/>
                <w:lang w:eastAsia="en-US"/>
              </w:rPr>
              <w:t xml:space="preserve">Labklājības ministrija (24.05.2019. vēstule Nr. 40-1-04/963): </w:t>
            </w:r>
          </w:p>
          <w:p w14:paraId="65B58D15" w14:textId="77777777" w:rsidR="005E48D7" w:rsidRPr="00877B51" w:rsidRDefault="005E48D7" w:rsidP="005E48D7">
            <w:pPr>
              <w:widowControl w:val="0"/>
              <w:jc w:val="both"/>
              <w:rPr>
                <w:rFonts w:eastAsia="Calibri"/>
                <w:b/>
                <w:lang w:eastAsia="en-US"/>
              </w:rPr>
            </w:pPr>
            <w:r w:rsidRPr="00877B51">
              <w:rPr>
                <w:iCs/>
              </w:rPr>
              <w:t xml:space="preserve">Lūdzam Ministru kabineta sēdes </w:t>
            </w:r>
            <w:proofErr w:type="spellStart"/>
            <w:r w:rsidRPr="00877B51">
              <w:rPr>
                <w:iCs/>
              </w:rPr>
              <w:t>protokollēmuma</w:t>
            </w:r>
            <w:proofErr w:type="spellEnd"/>
            <w:r w:rsidRPr="00877B51">
              <w:rPr>
                <w:iCs/>
              </w:rPr>
              <w:t xml:space="preserve"> projekta 6.punktu izteikt šādā redakcijā:</w:t>
            </w:r>
          </w:p>
          <w:p w14:paraId="00F23DB8" w14:textId="77777777" w:rsidR="005E48D7" w:rsidRDefault="005E48D7" w:rsidP="005E48D7">
            <w:pPr>
              <w:jc w:val="both"/>
              <w:rPr>
                <w:iCs/>
              </w:rPr>
            </w:pPr>
            <w:r w:rsidRPr="00877B51">
              <w:rPr>
                <w:iCs/>
              </w:rPr>
              <w:t>“6.</w:t>
            </w:r>
            <w:r w:rsidRPr="00877B51">
              <w:t xml:space="preserve"> Labklājības ministrijai izstrādāt nepieciešamo normatīvo aktu grozījumus.”</w:t>
            </w:r>
          </w:p>
          <w:p w14:paraId="68365C36" w14:textId="77777777" w:rsidR="005E48D7" w:rsidRDefault="005E48D7" w:rsidP="005E48D7">
            <w:pPr>
              <w:jc w:val="both"/>
              <w:rPr>
                <w:iCs/>
              </w:rPr>
            </w:pPr>
            <w:r w:rsidRPr="00877B51">
              <w:rPr>
                <w:iCs/>
              </w:rPr>
              <w:t xml:space="preserve">Lūdzam Ministru kabineta sēdes </w:t>
            </w:r>
            <w:proofErr w:type="spellStart"/>
            <w:r w:rsidRPr="00877B51">
              <w:rPr>
                <w:iCs/>
              </w:rPr>
              <w:t>protokollēmuma</w:t>
            </w:r>
            <w:proofErr w:type="spellEnd"/>
            <w:r w:rsidRPr="00877B51">
              <w:rPr>
                <w:iCs/>
              </w:rPr>
              <w:t xml:space="preserve"> projekta 7.punktā svītrot vārdus „kopā ar visu ministriju un citu valsts pārvaldes iestāžu prioritāro pasākumu pieprasījumiem”;</w:t>
            </w:r>
          </w:p>
          <w:p w14:paraId="087C6F72" w14:textId="77777777" w:rsidR="005E48D7" w:rsidRDefault="005E48D7" w:rsidP="005E48D7">
            <w:pPr>
              <w:jc w:val="both"/>
              <w:rPr>
                <w:iCs/>
              </w:rPr>
            </w:pPr>
            <w:r w:rsidRPr="00877B51">
              <w:rPr>
                <w:iCs/>
              </w:rPr>
              <w:t xml:space="preserve"> </w:t>
            </w:r>
            <w:r w:rsidRPr="00877B51">
              <w:rPr>
                <w:iCs/>
                <w:u w:val="single"/>
              </w:rPr>
              <w:t>Pamatojums:</w:t>
            </w:r>
            <w:r w:rsidRPr="00877B51">
              <w:rPr>
                <w:iCs/>
              </w:rPr>
              <w:t xml:space="preserve"> Saskaņā ar normatīvajos aktos noteikto</w:t>
            </w:r>
            <w:r w:rsidRPr="00877B51">
              <w:rPr>
                <w:iCs/>
                <w:vertAlign w:val="superscript"/>
              </w:rPr>
              <w:footnoteReference w:id="1"/>
            </w:r>
            <w:r w:rsidRPr="00877B51">
              <w:rPr>
                <w:iCs/>
              </w:rPr>
              <w:t xml:space="preserve"> Veselības un darbspēju ekspertīzes ārstu valsts komisija (turpmāk – VDEĀVK) izsniedz atzinumu par asistenta pakalpojuma nepieciešamību pamatojoties un </w:t>
            </w:r>
            <w:r w:rsidRPr="00877B51">
              <w:rPr>
                <w:iCs/>
              </w:rPr>
              <w:lastRenderedPageBreak/>
              <w:t>noteiktiem kritērijiem, tai nav citas kompetences asistenta pakalpojuma nodrošināšanā. Personai ar invaliditāti, pamatojoties uz minēto atzinumu, ir tiesības pieprasīt gan asistenta pakalpojumu pašvaldībā, gan asistenta pakalpojumu izglītības iestādē. Ņemot vērā, ka asistenta pakalpojuma augstākās izglītības posmā piešķiršanu un administrēšanu paredzēts uzticēt pašvaldību sociālajiem dienestiem, datu apmaiņa ar VDEĀVK par studējošām personām ar I un II invaliditātes grupu nav nepieciešama. Pašvaldību sociālie dienesti izmantojot Invaliditātes informatīvo sistēmu jau šobrīd var pārliecināties, vai personai ir izsniegts atzinums par asistenta pakalpojuma nepieciešamību, līdz ar to datu apmaiņa par studējošām personām ir nepieciešama starp augstākās izglītības iestādēm un pašvaldību sociālajiem dienestiem. Attiecīgi būs nepieciešams veidot datu apmaiņu starp Valsts izglītības informācijas sistēmas Studējošo un absolventu reģistru un Sociālās palīdzības administrēšanas sistēmu.</w:t>
            </w:r>
          </w:p>
          <w:p w14:paraId="281FB973" w14:textId="28CC0F9A" w:rsidR="005E48D7" w:rsidRPr="0042363A" w:rsidRDefault="005E48D7" w:rsidP="005E48D7">
            <w:pPr>
              <w:widowControl w:val="0"/>
              <w:ind w:firstLine="720"/>
              <w:jc w:val="both"/>
              <w:outlineLvl w:val="0"/>
              <w:rPr>
                <w:rFonts w:eastAsia="Calibri"/>
                <w:lang w:eastAsia="en-US"/>
              </w:rPr>
            </w:pPr>
            <w:r w:rsidRPr="00655629">
              <w:rPr>
                <w:iCs/>
              </w:rPr>
              <w:t xml:space="preserve">Attiecībā uz papildu nepieciešamo finansējumu 2020.gadā un turpmākajos gados asistenta pakalpojuma nodrošināšanai augstākās izglītības posmā </w:t>
            </w:r>
            <w:r w:rsidRPr="00655629">
              <w:rPr>
                <w:iCs/>
              </w:rPr>
              <w:lastRenderedPageBreak/>
              <w:t>informējam, ka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10.3.4. apakšpunktam, valsts pamatbudžeta bāzi (izdevumus un resursus izdevumu segšanai) nosaka, ņemot vērā prognozes par personu ar invaliditāti skaitu, kuras saņem asistenta pakalpojumu.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F3F0BCC" w14:textId="77777777" w:rsidR="005E48D7" w:rsidRDefault="005E48D7" w:rsidP="005E48D7">
            <w:pPr>
              <w:ind w:firstLine="284"/>
              <w:jc w:val="both"/>
              <w:rPr>
                <w:b/>
              </w:rPr>
            </w:pPr>
            <w:r w:rsidRPr="00550DD9">
              <w:rPr>
                <w:b/>
              </w:rPr>
              <w:lastRenderedPageBreak/>
              <w:t>Ņemts vērā</w:t>
            </w:r>
            <w:r>
              <w:rPr>
                <w:b/>
              </w:rPr>
              <w:t xml:space="preserve"> pēc būtības </w:t>
            </w:r>
          </w:p>
          <w:p w14:paraId="4422EDDF" w14:textId="5D52B2A0" w:rsidR="005E48D7" w:rsidRPr="0042363A" w:rsidRDefault="005E48D7" w:rsidP="005E48D7">
            <w:pPr>
              <w:ind w:firstLine="284"/>
              <w:jc w:val="both"/>
              <w:rPr>
                <w:b/>
              </w:rPr>
            </w:pPr>
            <w:r>
              <w:t xml:space="preserve">Tika precizēts </w:t>
            </w:r>
            <w:proofErr w:type="spellStart"/>
            <w:r>
              <w:t>protokollēmuma</w:t>
            </w:r>
            <w:proofErr w:type="spellEnd"/>
            <w:r>
              <w:t xml:space="preserve"> projekts, izsakot 6. punktu jaunā redakcijā, kā arī svītrots            7. punkts.</w:t>
            </w:r>
          </w:p>
        </w:tc>
        <w:tc>
          <w:tcPr>
            <w:tcW w:w="3272" w:type="dxa"/>
            <w:tcBorders>
              <w:top w:val="single" w:sz="4" w:space="0" w:color="auto"/>
              <w:left w:val="single" w:sz="4" w:space="0" w:color="auto"/>
              <w:bottom w:val="single" w:sz="4" w:space="0" w:color="auto"/>
            </w:tcBorders>
          </w:tcPr>
          <w:p w14:paraId="0B0C6589" w14:textId="27FC85CD" w:rsidR="005E48D7" w:rsidRPr="009454D5" w:rsidRDefault="005E48D7" w:rsidP="005E48D7">
            <w:pPr>
              <w:jc w:val="both"/>
              <w:rPr>
                <w:rFonts w:eastAsia="Calibri"/>
              </w:rPr>
            </w:pPr>
            <w:r>
              <w:rPr>
                <w:rFonts w:eastAsia="Calibri"/>
              </w:rPr>
              <w:t xml:space="preserve">Precizēts </w:t>
            </w:r>
            <w:proofErr w:type="spellStart"/>
            <w:r>
              <w:rPr>
                <w:rFonts w:eastAsia="Calibri"/>
              </w:rPr>
              <w:t>protokollēmuma</w:t>
            </w:r>
            <w:proofErr w:type="spellEnd"/>
            <w:r>
              <w:rPr>
                <w:rFonts w:eastAsia="Calibri"/>
              </w:rPr>
              <w:t xml:space="preserve"> projekts</w:t>
            </w:r>
          </w:p>
        </w:tc>
      </w:tr>
      <w:tr w:rsidR="00C61D57" w:rsidRPr="001801C2" w14:paraId="779D1BC9"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12AA24E6" w14:textId="622E1AA4" w:rsidR="00C61D57" w:rsidRPr="001801C2" w:rsidRDefault="00AC2552" w:rsidP="00C61D57">
            <w:pPr>
              <w:ind w:left="360"/>
              <w:jc w:val="right"/>
            </w:pPr>
            <w:r>
              <w:lastRenderedPageBreak/>
              <w:t>7</w:t>
            </w:r>
          </w:p>
        </w:tc>
        <w:tc>
          <w:tcPr>
            <w:tcW w:w="3260" w:type="dxa"/>
            <w:tcBorders>
              <w:top w:val="single" w:sz="6" w:space="0" w:color="000000"/>
              <w:left w:val="single" w:sz="6" w:space="0" w:color="000000"/>
              <w:bottom w:val="single" w:sz="6" w:space="0" w:color="000000"/>
              <w:right w:val="single" w:sz="6" w:space="0" w:color="000000"/>
            </w:tcBorders>
          </w:tcPr>
          <w:p w14:paraId="51B992C2" w14:textId="77777777" w:rsidR="00C61D57" w:rsidRDefault="00C61D57" w:rsidP="00C61D57">
            <w:pPr>
              <w:jc w:val="both"/>
              <w:rPr>
                <w:i/>
              </w:rPr>
            </w:pPr>
            <w:r w:rsidRPr="00BA66DC">
              <w:rPr>
                <w:i/>
              </w:rPr>
              <w:t>Projekts</w:t>
            </w:r>
          </w:p>
          <w:p w14:paraId="245648C6" w14:textId="573FEB26" w:rsidR="00C61D57" w:rsidRPr="00993048" w:rsidRDefault="00C61D57" w:rsidP="00C61D57">
            <w:pPr>
              <w:jc w:val="both"/>
              <w:rPr>
                <w:i/>
              </w:rPr>
            </w:pPr>
            <w:r w:rsidRPr="00BA66DC">
              <w:t>Šī informatīvā ziņojuma mērķis ir informēt valdību par veicamajām darbībām asistenta pakalpojuma ieviešanai augstākās izglītības posmā un uzdot Labklājības ministrijai izstrādāt nepieciešamo normatīvo aktu grozījumus, kā arī Izglītības un zinātnes ministrijai sadarbībā ar Labklājības ministriju (</w:t>
            </w:r>
            <w:r w:rsidRPr="00BA66DC">
              <w:rPr>
                <w:shd w:val="clear" w:color="auto" w:fill="FFFFFF"/>
              </w:rPr>
              <w:t xml:space="preserve">Veselības un darbspēju ekspertīzes ārstu valsts komisiju (turpmāk VDEĀVK)) </w:t>
            </w:r>
            <w:r w:rsidRPr="00BA66DC">
              <w:t xml:space="preserve">un pašvaldībām veikt nepieciešamās darbības, lai nodrošinātu datu apmaiņu par studējošajiem un pilngadīgām </w:t>
            </w:r>
            <w:r w:rsidRPr="00BA66DC">
              <w:lastRenderedPageBreak/>
              <w:t>personām ar I vai II invaliditātes grupu, kurām nepieciešams asistenta pakalpojums augstākajā izglītībā.</w:t>
            </w:r>
          </w:p>
        </w:tc>
        <w:tc>
          <w:tcPr>
            <w:tcW w:w="3827" w:type="dxa"/>
            <w:gridSpan w:val="2"/>
            <w:tcBorders>
              <w:top w:val="single" w:sz="6" w:space="0" w:color="000000"/>
              <w:left w:val="single" w:sz="6" w:space="0" w:color="000000"/>
              <w:bottom w:val="single" w:sz="6" w:space="0" w:color="000000"/>
              <w:right w:val="single" w:sz="6" w:space="0" w:color="000000"/>
            </w:tcBorders>
          </w:tcPr>
          <w:p w14:paraId="4AD61FE3" w14:textId="77777777" w:rsidR="00C61D57" w:rsidRPr="00BA66DC" w:rsidRDefault="00C61D57" w:rsidP="00C61D57">
            <w:pPr>
              <w:jc w:val="both"/>
              <w:rPr>
                <w:b/>
              </w:rPr>
            </w:pPr>
            <w:r w:rsidRPr="00BA66DC">
              <w:rPr>
                <w:b/>
              </w:rPr>
              <w:lastRenderedPageBreak/>
              <w:t>Labklājības ministrija (27.06.2019. vēstule Nr.</w:t>
            </w:r>
            <w:r>
              <w:rPr>
                <w:b/>
              </w:rPr>
              <w:t xml:space="preserve"> </w:t>
            </w:r>
            <w:r w:rsidRPr="00511623">
              <w:rPr>
                <w:b/>
              </w:rPr>
              <w:t>A-21-09/64</w:t>
            </w:r>
            <w:r w:rsidRPr="00BA66DC">
              <w:rPr>
                <w:b/>
              </w:rPr>
              <w:t>):</w:t>
            </w:r>
          </w:p>
          <w:p w14:paraId="139235EA" w14:textId="77777777" w:rsidR="00C61D57" w:rsidRPr="00BA66DC" w:rsidRDefault="00C61D57" w:rsidP="00C61D57">
            <w:pPr>
              <w:jc w:val="both"/>
              <w:rPr>
                <w:b/>
              </w:rPr>
            </w:pPr>
            <w:r w:rsidRPr="00BA66DC">
              <w:rPr>
                <w:iCs/>
              </w:rPr>
              <w:t>Precizēt tekstu informatīvā ziņojuma 2. rindkopā, attiecīgi svītrot tekstu: „</w:t>
            </w:r>
            <w:r w:rsidRPr="00BA66DC">
              <w:t>kā arī Izglītības un zinātnes ministrijai sadarbībā ar Labklājības ministriju (</w:t>
            </w:r>
            <w:r w:rsidRPr="00BA66DC">
              <w:rPr>
                <w:shd w:val="clear" w:color="auto" w:fill="FFFFFF"/>
              </w:rPr>
              <w:t xml:space="preserve">Veselības un darbspēju ekspertīzes ārstu valsts komisiju (turpmāk VDEĀVK)) </w:t>
            </w:r>
            <w:r w:rsidRPr="00BA66DC">
              <w:t>un pašvaldībām veikt nepieciešamās darbības, lai nodrošinātu datu apmaiņu</w:t>
            </w:r>
            <w:r>
              <w:t>”.</w:t>
            </w:r>
          </w:p>
          <w:p w14:paraId="6B2AFB71" w14:textId="77777777" w:rsidR="00C61D57" w:rsidRPr="00BA66DC" w:rsidRDefault="00C61D57" w:rsidP="00C61D57">
            <w:pPr>
              <w:jc w:val="both"/>
              <w:rPr>
                <w:b/>
              </w:rPr>
            </w:pPr>
          </w:p>
          <w:p w14:paraId="6B2A23FA" w14:textId="18602927" w:rsidR="00C61D57" w:rsidRPr="00877B51" w:rsidRDefault="00C61D57" w:rsidP="00C61D57">
            <w:pPr>
              <w:jc w:val="both"/>
              <w:rPr>
                <w:iCs/>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C5A1DC3" w14:textId="77777777" w:rsidR="00C61D57" w:rsidRDefault="00C61D57" w:rsidP="00C61D57">
            <w:pPr>
              <w:jc w:val="center"/>
              <w:rPr>
                <w:b/>
              </w:rPr>
            </w:pPr>
            <w:r w:rsidRPr="00BA66DC">
              <w:rPr>
                <w:b/>
              </w:rPr>
              <w:t>Ņemts vērā</w:t>
            </w:r>
          </w:p>
          <w:p w14:paraId="4AB3167F" w14:textId="6834A4F8" w:rsidR="00C61D57" w:rsidRPr="00550DD9" w:rsidRDefault="00C61D57" w:rsidP="00C61D57">
            <w:pPr>
              <w:jc w:val="both"/>
              <w:rPr>
                <w:b/>
              </w:rPr>
            </w:pPr>
            <w:r>
              <w:rPr>
                <w:iCs/>
              </w:rPr>
              <w:t>I</w:t>
            </w:r>
            <w:r w:rsidRPr="00BA66DC">
              <w:rPr>
                <w:iCs/>
              </w:rPr>
              <w:t xml:space="preserve">nformatīvā ziņojuma </w:t>
            </w:r>
            <w:r>
              <w:rPr>
                <w:iCs/>
              </w:rPr>
              <w:t xml:space="preserve">               </w:t>
            </w:r>
            <w:r w:rsidRPr="00BA66DC">
              <w:rPr>
                <w:iCs/>
              </w:rPr>
              <w:t>2.</w:t>
            </w:r>
            <w:r>
              <w:rPr>
                <w:iCs/>
              </w:rPr>
              <w:t xml:space="preserve"> rindkopa tika atbilstoši precizēta. </w:t>
            </w:r>
          </w:p>
        </w:tc>
        <w:tc>
          <w:tcPr>
            <w:tcW w:w="3272" w:type="dxa"/>
            <w:tcBorders>
              <w:top w:val="single" w:sz="4" w:space="0" w:color="auto"/>
              <w:left w:val="single" w:sz="4" w:space="0" w:color="auto"/>
              <w:bottom w:val="single" w:sz="4" w:space="0" w:color="auto"/>
            </w:tcBorders>
          </w:tcPr>
          <w:p w14:paraId="258F3BEE" w14:textId="77777777" w:rsidR="00C61D57" w:rsidRPr="00BA66DC" w:rsidRDefault="00C61D57" w:rsidP="00C61D57">
            <w:pPr>
              <w:jc w:val="both"/>
            </w:pPr>
            <w:r w:rsidRPr="00BA66DC">
              <w:t>Šī informatīvā ziņojuma mērķis ir informēt valdību par veicamajām darbībām asistenta pakalpojuma ieviešanai augstākās izglītības posmā un uzdot Labklājības ministrijai izstrādāt nepieciešamo normatīvo aktu grozījumus, , lai nodrošinātu pakalpojumu studējošajiem un pilngadīgām personām ar I vai II invaliditātes grupu, kurām nepieciešams asistenta pakalpojums augstākajā izglītībā.</w:t>
            </w:r>
          </w:p>
          <w:p w14:paraId="5372D689" w14:textId="29A8C7B1" w:rsidR="00C61D57" w:rsidRDefault="00C61D57" w:rsidP="00C61D57">
            <w:pPr>
              <w:jc w:val="both"/>
              <w:rPr>
                <w:rFonts w:eastAsia="Calibri"/>
              </w:rPr>
            </w:pPr>
          </w:p>
        </w:tc>
      </w:tr>
      <w:tr w:rsidR="00C61D57" w:rsidRPr="001801C2" w14:paraId="41646DF9"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613FDBF0" w14:textId="0FDCA8C8" w:rsidR="00C61D57" w:rsidRPr="001801C2" w:rsidRDefault="00AC2552" w:rsidP="00C61D57">
            <w:pPr>
              <w:ind w:left="360"/>
              <w:jc w:val="right"/>
            </w:pPr>
            <w:r>
              <w:t>8</w:t>
            </w:r>
          </w:p>
        </w:tc>
        <w:tc>
          <w:tcPr>
            <w:tcW w:w="3260" w:type="dxa"/>
            <w:tcBorders>
              <w:top w:val="single" w:sz="6" w:space="0" w:color="000000"/>
              <w:left w:val="single" w:sz="6" w:space="0" w:color="000000"/>
              <w:bottom w:val="single" w:sz="6" w:space="0" w:color="000000"/>
              <w:right w:val="single" w:sz="6" w:space="0" w:color="000000"/>
            </w:tcBorders>
          </w:tcPr>
          <w:p w14:paraId="24DADB50" w14:textId="77777777" w:rsidR="00C61D57" w:rsidRPr="00173E70" w:rsidRDefault="00C61D57" w:rsidP="00C61D57">
            <w:pPr>
              <w:jc w:val="both"/>
              <w:rPr>
                <w:i/>
                <w:iCs/>
                <w:color w:val="000000"/>
              </w:rPr>
            </w:pPr>
            <w:proofErr w:type="spellStart"/>
            <w:r w:rsidRPr="00173E70">
              <w:rPr>
                <w:i/>
                <w:iCs/>
                <w:color w:val="000000"/>
              </w:rPr>
              <w:t>Protokollēmuma</w:t>
            </w:r>
            <w:proofErr w:type="spellEnd"/>
            <w:r w:rsidRPr="00173E70">
              <w:rPr>
                <w:i/>
                <w:iCs/>
                <w:color w:val="000000"/>
              </w:rPr>
              <w:t xml:space="preserve"> projekts</w:t>
            </w:r>
          </w:p>
          <w:p w14:paraId="7B1C4B00" w14:textId="77777777" w:rsidR="00C61D57" w:rsidRPr="00173E70" w:rsidRDefault="00C61D57" w:rsidP="00C61D57">
            <w:pPr>
              <w:jc w:val="both"/>
              <w:rPr>
                <w:i/>
                <w:iCs/>
                <w:color w:val="000000"/>
              </w:rPr>
            </w:pPr>
            <w:r w:rsidRPr="00173E70">
              <w:t>7. Izglītības un zinātnes ministrijai sadarbībā ar Labklājības ministriju (Veselības un darbspēju ekspertīzes ārstu valsts komisiju) un pašvaldībām līdz 201. gada 31. augustam veikt nepieciešamās darbības, lai, sākot ar 2019. gada 1. septembri, nodrošināt datu apmaiņu par studējošajiem un pilngadīgām personām ar I vai II invaliditātes grupu, kurām nepieciešams asistenta pakalpojums (izglītībā).</w:t>
            </w:r>
          </w:p>
          <w:p w14:paraId="69E57202" w14:textId="77777777" w:rsidR="00C61D57" w:rsidRPr="00993048" w:rsidRDefault="00C61D57" w:rsidP="00C61D57">
            <w:pPr>
              <w:pStyle w:val="naisc"/>
              <w:spacing w:before="0" w:after="0"/>
              <w:ind w:left="360"/>
              <w:jc w:val="both"/>
              <w:rPr>
                <w:i/>
              </w:rPr>
            </w:pPr>
          </w:p>
        </w:tc>
        <w:tc>
          <w:tcPr>
            <w:tcW w:w="3827" w:type="dxa"/>
            <w:gridSpan w:val="2"/>
            <w:tcBorders>
              <w:top w:val="single" w:sz="6" w:space="0" w:color="000000"/>
              <w:left w:val="single" w:sz="6" w:space="0" w:color="000000"/>
              <w:bottom w:val="single" w:sz="6" w:space="0" w:color="000000"/>
              <w:right w:val="single" w:sz="6" w:space="0" w:color="000000"/>
            </w:tcBorders>
          </w:tcPr>
          <w:p w14:paraId="07762F06" w14:textId="77777777" w:rsidR="00C61D57" w:rsidRPr="00173E70" w:rsidRDefault="00C61D57" w:rsidP="00C61D57">
            <w:pPr>
              <w:widowControl w:val="0"/>
              <w:jc w:val="both"/>
              <w:rPr>
                <w:iCs/>
                <w:color w:val="000000"/>
              </w:rPr>
            </w:pPr>
            <w:r w:rsidRPr="00173E70">
              <w:rPr>
                <w:b/>
              </w:rPr>
              <w:t>Labklājības ministrija (27.06.2019. vēstule Nr.</w:t>
            </w:r>
            <w:r>
              <w:rPr>
                <w:b/>
              </w:rPr>
              <w:t xml:space="preserve"> </w:t>
            </w:r>
            <w:r w:rsidRPr="00511623">
              <w:rPr>
                <w:b/>
              </w:rPr>
              <w:t>A-21-09/64</w:t>
            </w:r>
            <w:r w:rsidRPr="00173E70">
              <w:rPr>
                <w:b/>
              </w:rPr>
              <w:t>):</w:t>
            </w:r>
          </w:p>
          <w:p w14:paraId="22539F2E" w14:textId="5BF69B92" w:rsidR="00C61D57" w:rsidRPr="00877B51" w:rsidRDefault="00C61D57" w:rsidP="00C61D57">
            <w:pPr>
              <w:jc w:val="both"/>
              <w:rPr>
                <w:iCs/>
              </w:rPr>
            </w:pPr>
            <w:r w:rsidRPr="00173E70">
              <w:rPr>
                <w:iCs/>
                <w:color w:val="000000"/>
              </w:rPr>
              <w:t xml:space="preserve">Lūdzam svītrot Ministru kabineta sēdes </w:t>
            </w:r>
            <w:proofErr w:type="spellStart"/>
            <w:r w:rsidRPr="00173E70">
              <w:rPr>
                <w:iCs/>
                <w:color w:val="000000"/>
              </w:rPr>
              <w:t>protokollēmuma</w:t>
            </w:r>
            <w:proofErr w:type="spellEnd"/>
            <w:r w:rsidRPr="00173E70">
              <w:rPr>
                <w:iCs/>
                <w:color w:val="000000"/>
              </w:rPr>
              <w:t xml:space="preserve"> projekta 7.punktu.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5EF0BB9" w14:textId="77777777" w:rsidR="00C61D57" w:rsidRDefault="00C61D57" w:rsidP="00C61D57">
            <w:pPr>
              <w:jc w:val="center"/>
              <w:rPr>
                <w:b/>
              </w:rPr>
            </w:pPr>
            <w:r w:rsidRPr="00173E70">
              <w:rPr>
                <w:b/>
              </w:rPr>
              <w:t>Ņemts vērā</w:t>
            </w:r>
          </w:p>
          <w:p w14:paraId="7D0E6320" w14:textId="2EA195DE" w:rsidR="00C61D57" w:rsidRPr="00550DD9" w:rsidRDefault="00C61D57" w:rsidP="00C61D57">
            <w:pPr>
              <w:jc w:val="both"/>
              <w:rPr>
                <w:b/>
              </w:rPr>
            </w:pPr>
            <w:r w:rsidRPr="00173E70">
              <w:t xml:space="preserve">Ir svītrots </w:t>
            </w:r>
            <w:proofErr w:type="spellStart"/>
            <w:r w:rsidRPr="00173E70">
              <w:rPr>
                <w:iCs/>
                <w:color w:val="000000"/>
              </w:rPr>
              <w:t>protokollēmuma</w:t>
            </w:r>
            <w:proofErr w:type="spellEnd"/>
            <w:r w:rsidRPr="00173E70">
              <w:rPr>
                <w:iCs/>
                <w:color w:val="000000"/>
              </w:rPr>
              <w:t xml:space="preserve"> projekta 7.punkts</w:t>
            </w:r>
          </w:p>
        </w:tc>
        <w:tc>
          <w:tcPr>
            <w:tcW w:w="3272" w:type="dxa"/>
            <w:tcBorders>
              <w:top w:val="single" w:sz="4" w:space="0" w:color="auto"/>
              <w:left w:val="single" w:sz="4" w:space="0" w:color="auto"/>
              <w:bottom w:val="single" w:sz="4" w:space="0" w:color="auto"/>
            </w:tcBorders>
          </w:tcPr>
          <w:p w14:paraId="2BFDC467" w14:textId="77777777" w:rsidR="00C61D57" w:rsidRDefault="00C61D57" w:rsidP="00C61D57">
            <w:pPr>
              <w:jc w:val="both"/>
              <w:rPr>
                <w:rFonts w:eastAsia="Calibri"/>
              </w:rPr>
            </w:pPr>
          </w:p>
        </w:tc>
      </w:tr>
      <w:tr w:rsidR="00C61D57" w:rsidRPr="001801C2" w14:paraId="2F6D9616"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73262CC9" w14:textId="044E036C" w:rsidR="00C61D57" w:rsidRPr="001801C2" w:rsidRDefault="00AC2552" w:rsidP="00C61D57">
            <w:pPr>
              <w:ind w:left="360"/>
              <w:jc w:val="right"/>
            </w:pPr>
            <w:r>
              <w:t>9</w:t>
            </w:r>
          </w:p>
        </w:tc>
        <w:tc>
          <w:tcPr>
            <w:tcW w:w="3260" w:type="dxa"/>
            <w:tcBorders>
              <w:top w:val="single" w:sz="6" w:space="0" w:color="000000"/>
              <w:left w:val="single" w:sz="6" w:space="0" w:color="000000"/>
              <w:bottom w:val="single" w:sz="6" w:space="0" w:color="000000"/>
              <w:right w:val="single" w:sz="6" w:space="0" w:color="000000"/>
            </w:tcBorders>
          </w:tcPr>
          <w:p w14:paraId="0705349E" w14:textId="77777777" w:rsidR="008214AD" w:rsidRDefault="00C61D57" w:rsidP="008214AD">
            <w:pPr>
              <w:jc w:val="both"/>
              <w:rPr>
                <w:i/>
              </w:rPr>
            </w:pPr>
            <w:r>
              <w:rPr>
                <w:i/>
              </w:rPr>
              <w:t>Projekts</w:t>
            </w:r>
          </w:p>
          <w:p w14:paraId="68C5A3C7" w14:textId="77777777" w:rsidR="008214AD" w:rsidRDefault="008214AD" w:rsidP="008214AD">
            <w:pPr>
              <w:jc w:val="both"/>
              <w:rPr>
                <w:i/>
              </w:rPr>
            </w:pPr>
            <w:r w:rsidRPr="008214AD">
              <w:rPr>
                <w:shd w:val="clear" w:color="auto" w:fill="FFFFFF"/>
              </w:rPr>
              <w:t xml:space="preserve">Dzīvesvietas deklarēšanas likuma 4. panta pirmā daļa noteic, ka dzīvesvietas maiņas gadījumā personas pienākums ir mēneša laikā, kopš tā pastāvīgi dzīvo jaunajā dzīvesvietā, deklarēt to dzīvesvietas deklarēšanas iestādē, savukārt saskaņā ar 8.panta ceturto daļu  personai ir tiesības deklarācijā norādīt </w:t>
            </w:r>
            <w:r w:rsidRPr="008214AD">
              <w:rPr>
                <w:shd w:val="clear" w:color="auto" w:fill="FFFFFF"/>
              </w:rPr>
              <w:lastRenderedPageBreak/>
              <w:t>papildu adresi (adreses), minot laikposmu, kurā viņš tajā (tajās) ir sasniedzams. Līdz ar to,  ja persona ar invaliditāti studiju laikā izvēlās uz laiku dzīvot pašvaldībā, kurā atrodas augstākās izglītības iestāde, un deklarējot dzīvesvietu, uz noteiktu laiku ir norādījusi papildu adresi šajā pašvaldībā, personas var lūgt piešķirt asistenta pakalpojumu tās pašvaldības sociālajā dienestā, kurā atrodas augstākās izglītības iestāde.</w:t>
            </w:r>
          </w:p>
          <w:p w14:paraId="0261D58E" w14:textId="0128EC0D" w:rsidR="008214AD" w:rsidRPr="008214AD" w:rsidRDefault="008214AD" w:rsidP="008214AD">
            <w:pPr>
              <w:jc w:val="both"/>
              <w:rPr>
                <w:i/>
              </w:rPr>
            </w:pPr>
            <w:r w:rsidRPr="008214AD">
              <w:rPr>
                <w:shd w:val="clear" w:color="auto" w:fill="FFFFFF"/>
              </w:rPr>
              <w:t>Informatīvā ziņojuma “Asistenta pakalpojums augstākās izglītības posmā” piedāvājums paredz, ka asistenta pakalpojumu augstākās izglītības iestādē nodrošinās (pieņems lēmumu, slēgs līgumu ar asistenta pakalpojuma pieprasītāju un asistenta pakalpojuma sniedzēju, kontrolēs līguma saistību izpildi) pašvaldības sociālais dienests, savukārt augstskolas pienākums būs apliecināt, ka asistenta pakalpojuma saņēmējs apgūst attiecīgo izglītības programmu.</w:t>
            </w:r>
          </w:p>
          <w:p w14:paraId="1A910FFC" w14:textId="327102D9" w:rsidR="008214AD" w:rsidRPr="00173E70" w:rsidRDefault="008214AD" w:rsidP="00C61D57">
            <w:pPr>
              <w:jc w:val="both"/>
              <w:rPr>
                <w:i/>
                <w:iCs/>
                <w:color w:val="000000"/>
              </w:rPr>
            </w:pPr>
          </w:p>
        </w:tc>
        <w:tc>
          <w:tcPr>
            <w:tcW w:w="3827" w:type="dxa"/>
            <w:gridSpan w:val="2"/>
            <w:tcBorders>
              <w:top w:val="single" w:sz="6" w:space="0" w:color="000000"/>
              <w:left w:val="single" w:sz="6" w:space="0" w:color="000000"/>
              <w:bottom w:val="single" w:sz="6" w:space="0" w:color="000000"/>
              <w:right w:val="single" w:sz="6" w:space="0" w:color="000000"/>
            </w:tcBorders>
          </w:tcPr>
          <w:p w14:paraId="34871E4B" w14:textId="77777777" w:rsidR="00C61D57" w:rsidRDefault="00C61D57" w:rsidP="00C61D57">
            <w:pPr>
              <w:widowControl w:val="0"/>
              <w:jc w:val="both"/>
            </w:pPr>
            <w:r>
              <w:rPr>
                <w:rFonts w:eastAsia="Calibri"/>
                <w:b/>
                <w:lang w:eastAsia="en-US"/>
              </w:rPr>
              <w:lastRenderedPageBreak/>
              <w:t>Finanšu ministrija (01.07.2019. e-pasta vēstule):</w:t>
            </w:r>
          </w:p>
          <w:p w14:paraId="4A1EFEDA" w14:textId="3EA1E675" w:rsidR="00C61D57" w:rsidRPr="00173E70" w:rsidRDefault="00C61D57" w:rsidP="00C61D57">
            <w:pPr>
              <w:widowControl w:val="0"/>
              <w:jc w:val="both"/>
              <w:rPr>
                <w:b/>
              </w:rPr>
            </w:pPr>
            <w:r>
              <w:t xml:space="preserve">Informatīvā ziņojuma projektā minēts, ka, ja persona ar invaliditāti studiju laikā izvēlās uz laiku dzīvot pašvaldībā, kurā atrodas augstākās izglītības iestāde, un deklarējot dzīvesvietu, uz noteiktu laiku ir norādījusi papildu adresi šajā pašvaldībā, personas var lūgt piešķirt asistenta pakalpojumu tās pašvaldības sociālajā dienestā, kurā atrodas </w:t>
            </w:r>
            <w:r>
              <w:lastRenderedPageBreak/>
              <w:t>augstākās izglītības iestāde. Norādām, ka personas pamata dzīvesvietas adrese var būt viena, savukārt, ja persona vēlas, tā var norādīt dzīvesvietas deklarēšanas veidlapā neierobežotu skaitu papildu adreses. Vēršam uzmanību, ka atbilstoši Ministru kabineta 2012.gada 18.decembra noteikumu Nr.942 “Kārtība, kādā piešķir un finansē asistenta pakalpojumu pašvaldībā” (turpmāk – noteikumi Nr.942) 4.punktam asistenta pakalpojumu nodrošina personas deklarētās dzīvesvietas sociālais dienests. Līdz ar to noteikumi Nr.942 neparedz, ka tai pašvaldībai, kurā persona ir deklarējusi papildu adresi, ir jānodrošina asistenta pakalpojumi. Ņemot vērā minēto, lūdzam skaidrot un papildināt informatīvā ziņojuma projektā norādīto informāciju.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D1F5602" w14:textId="05E9F680" w:rsidR="00C61D57" w:rsidRDefault="00C61D57" w:rsidP="00D26534">
            <w:pPr>
              <w:jc w:val="center"/>
              <w:rPr>
                <w:b/>
              </w:rPr>
            </w:pPr>
            <w:r w:rsidRPr="00202DC8">
              <w:rPr>
                <w:b/>
              </w:rPr>
              <w:lastRenderedPageBreak/>
              <w:t>Ņemt</w:t>
            </w:r>
            <w:r>
              <w:rPr>
                <w:b/>
              </w:rPr>
              <w:t>s</w:t>
            </w:r>
            <w:r w:rsidRPr="00202DC8">
              <w:rPr>
                <w:b/>
              </w:rPr>
              <w:t xml:space="preserve"> vērā</w:t>
            </w:r>
          </w:p>
          <w:p w14:paraId="2223D5E7" w14:textId="463358BA" w:rsidR="00C61D57" w:rsidRPr="00173E70" w:rsidRDefault="00C61D57" w:rsidP="00C61D57">
            <w:pPr>
              <w:jc w:val="both"/>
              <w:rPr>
                <w:b/>
              </w:rPr>
            </w:pPr>
            <w:r w:rsidRPr="00202DC8">
              <w:t>Informatīvā ziņojuma projekts ir papildināts ar paskaidrojošo rindkopu</w:t>
            </w:r>
            <w:r>
              <w:t xml:space="preserve"> (4. lpp.)</w:t>
            </w:r>
            <w:r w:rsidRPr="00202DC8">
              <w:t xml:space="preserve">. </w:t>
            </w:r>
          </w:p>
        </w:tc>
        <w:tc>
          <w:tcPr>
            <w:tcW w:w="3272" w:type="dxa"/>
            <w:tcBorders>
              <w:top w:val="single" w:sz="4" w:space="0" w:color="auto"/>
              <w:left w:val="single" w:sz="4" w:space="0" w:color="auto"/>
              <w:bottom w:val="single" w:sz="4" w:space="0" w:color="auto"/>
            </w:tcBorders>
          </w:tcPr>
          <w:p w14:paraId="2B7484D9" w14:textId="77777777" w:rsidR="008214AD" w:rsidRPr="008214AD" w:rsidRDefault="008214AD" w:rsidP="008214AD">
            <w:pPr>
              <w:jc w:val="both"/>
              <w:rPr>
                <w:shd w:val="clear" w:color="auto" w:fill="FFFFFF"/>
              </w:rPr>
            </w:pPr>
            <w:r w:rsidRPr="008214AD">
              <w:rPr>
                <w:shd w:val="clear" w:color="auto" w:fill="FFFFFF"/>
              </w:rPr>
              <w:t xml:space="preserve">Dzīvesvietas deklarēšanas likuma 4. panta pirmā daļa noteic, ka dzīvesvietas maiņas gadījumā personas pienākums ir mēneša laikā, kopš tā pastāvīgi dzīvo jaunajā dzīvesvietā, deklarēt to dzīvesvietas deklarēšanas iestādē, savukārt saskaņā ar 8.panta ceturto daļu  personai ir tiesības deklarācijā norādīt papildu adresi (adreses), minot laikposmu, kurā viņš tajā </w:t>
            </w:r>
            <w:r w:rsidRPr="008214AD">
              <w:rPr>
                <w:shd w:val="clear" w:color="auto" w:fill="FFFFFF"/>
              </w:rPr>
              <w:lastRenderedPageBreak/>
              <w:t>(tajās) ir sasniedzams. Līdz ar to,  ja persona ar invaliditāti studiju laikā izvēlās uz laiku dzīvot pašvaldībā, kurā atrodas augstākās izglītības iestāde, un deklarējot dzīvesvietu, uz noteiktu laiku ir norādījusi papildu adresi šajā pašvaldībā, personas var lūgt piešķirt asistenta pakalpojumu tās pašvaldības sociālajā dienestā, kurā atrodas augstākās izglītības iestāde.</w:t>
            </w:r>
          </w:p>
          <w:p w14:paraId="30193021" w14:textId="77777777" w:rsidR="008214AD" w:rsidRPr="008214AD" w:rsidRDefault="008214AD" w:rsidP="008214AD">
            <w:pPr>
              <w:jc w:val="both"/>
            </w:pPr>
            <w:r w:rsidRPr="008214AD">
              <w:t xml:space="preserve">No augstākminētā izriet, ka pakalpojuma saņēmējam – personai ar invaliditāti, ir vairākas iespējas, kā saņemt sev nepieciešamo pakalpojumu konkrētam mērķim, šajā gadījumā asistenta pakalpojumu augstākās izglītības posmā: </w:t>
            </w:r>
          </w:p>
          <w:p w14:paraId="51583DC6" w14:textId="6CB95596" w:rsidR="008214AD" w:rsidRPr="008214AD" w:rsidRDefault="008214AD" w:rsidP="008214AD">
            <w:pPr>
              <w:pStyle w:val="PlainText"/>
              <w:jc w:val="both"/>
              <w:rPr>
                <w:rFonts w:ascii="Times New Roman" w:hAnsi="Times New Roman" w:cs="Times New Roman"/>
                <w:sz w:val="24"/>
                <w:szCs w:val="24"/>
              </w:rPr>
            </w:pPr>
            <w:r w:rsidRPr="008214AD">
              <w:rPr>
                <w:rFonts w:ascii="Times New Roman" w:hAnsi="Times New Roman" w:cs="Times New Roman"/>
                <w:sz w:val="24"/>
                <w:szCs w:val="24"/>
              </w:rPr>
              <w:t>1.1. pakalpojuma saņēmējs ir deklarēts noteiktajā pašvaldībā, un līgumu par pakalpojuma nodrošināšanu slēdz ar šīs pašvaldības sociālo dienestu;</w:t>
            </w:r>
          </w:p>
          <w:p w14:paraId="4146C253" w14:textId="56BC3560" w:rsidR="008214AD" w:rsidRPr="008214AD" w:rsidRDefault="008214AD" w:rsidP="008214AD">
            <w:pPr>
              <w:pStyle w:val="PlainText"/>
              <w:jc w:val="both"/>
              <w:rPr>
                <w:rFonts w:ascii="Times New Roman" w:hAnsi="Times New Roman" w:cs="Times New Roman"/>
                <w:sz w:val="24"/>
                <w:szCs w:val="24"/>
              </w:rPr>
            </w:pPr>
            <w:r w:rsidRPr="008214AD">
              <w:rPr>
                <w:rFonts w:ascii="Times New Roman" w:hAnsi="Times New Roman" w:cs="Times New Roman"/>
                <w:sz w:val="24"/>
                <w:szCs w:val="24"/>
              </w:rPr>
              <w:t xml:space="preserve">1.2. gadījumā, ja pakalpojuma saņēmējs maina savu dzīvesvietu un deklarējas citā pašvaldībā (piemēram, izglītības iestādes pašvaldība), tādā gadījumā viņš slēdz līgumu par pakalpojuma nodrošināšanu </w:t>
            </w:r>
            <w:r w:rsidRPr="008214AD">
              <w:rPr>
                <w:rFonts w:ascii="Times New Roman" w:hAnsi="Times New Roman" w:cs="Times New Roman"/>
                <w:sz w:val="24"/>
                <w:szCs w:val="24"/>
              </w:rPr>
              <w:lastRenderedPageBreak/>
              <w:t>ar šīs pašvaldības sociālo dienestu;</w:t>
            </w:r>
          </w:p>
          <w:p w14:paraId="5299CB7C" w14:textId="0D587A0C" w:rsidR="008214AD" w:rsidRPr="008214AD" w:rsidRDefault="008214AD" w:rsidP="008214AD">
            <w:pPr>
              <w:pStyle w:val="PlainText"/>
              <w:jc w:val="both"/>
              <w:rPr>
                <w:rFonts w:ascii="Times New Roman" w:hAnsi="Times New Roman" w:cs="Times New Roman"/>
                <w:sz w:val="24"/>
                <w:szCs w:val="24"/>
              </w:rPr>
            </w:pPr>
            <w:r w:rsidRPr="008214AD">
              <w:rPr>
                <w:rFonts w:ascii="Times New Roman" w:hAnsi="Times New Roman" w:cs="Times New Roman"/>
                <w:sz w:val="24"/>
                <w:szCs w:val="24"/>
              </w:rPr>
              <w:t>1.3. saskaņā ar Dzīvesvietas deklarēšanas likuma 8.panta ceturto daļu, personai ir tiesības norādīt papildu adresi uz noteiktu laika posmu, kurā ir pastāvīgi sasniedzama. Saskaņā ar iepriekš minēto, ja pakalpojuma saņēmējs ir deklarēts vienā pašvaldībā un ir norādījis kādu citu pašvaldību kā papildu adresi, tad līgumu par pakalpojumu nodrošināšanu drīkst slēgt tās pašvaldības sociālais dienests, kurā personai ir papildus adrese, vienlaikus šīs pašvaldības sociālajam dienestam ir jāpārbauda, vai pakalpojuma pieprasītājam jau nav noslēgts līgums par pakalpojuma saņemšanu ar deklarētās adreses pašvaldību, lai novērstu dubulto valsts  finansēšanas riskus. Savukārt atskaites par pakalpojuma sniegšanu un atskaitīšanās kārtību izriet no līgumā noteiktā.</w:t>
            </w:r>
          </w:p>
          <w:p w14:paraId="53D1B730" w14:textId="1480E01A" w:rsidR="00C61D57" w:rsidRPr="008214AD" w:rsidRDefault="008214AD" w:rsidP="008214AD">
            <w:pPr>
              <w:pStyle w:val="PlainText"/>
              <w:jc w:val="both"/>
              <w:rPr>
                <w:rFonts w:ascii="Times New Roman" w:hAnsi="Times New Roman" w:cs="Times New Roman"/>
                <w:sz w:val="28"/>
                <w:szCs w:val="28"/>
              </w:rPr>
            </w:pPr>
            <w:r w:rsidRPr="008214AD">
              <w:rPr>
                <w:rFonts w:ascii="Times New Roman" w:hAnsi="Times New Roman" w:cs="Times New Roman"/>
                <w:sz w:val="24"/>
                <w:szCs w:val="24"/>
              </w:rPr>
              <w:t xml:space="preserve">Papildus iepriekš minētajam, tiesību normas (Dzīvesvietas deklarēšanas likums un Noteikumi Nr. 942) ir vērtējamas kopsakarā. Ja </w:t>
            </w:r>
            <w:r w:rsidRPr="008214AD">
              <w:rPr>
                <w:rFonts w:ascii="Times New Roman" w:hAnsi="Times New Roman" w:cs="Times New Roman"/>
                <w:sz w:val="24"/>
                <w:szCs w:val="24"/>
              </w:rPr>
              <w:lastRenderedPageBreak/>
              <w:t>deklarēšanas prasības pieļauj norādīt personai papildu adresi uz noteiktu laika posmu, tad tas ir attiecināms arī uz asistenta pakalpojumu, lieki neapgrūtinot personas ar administratīvo slogu</w:t>
            </w:r>
            <w:r w:rsidRPr="00D031CD">
              <w:rPr>
                <w:rFonts w:ascii="Times New Roman" w:hAnsi="Times New Roman" w:cs="Times New Roman"/>
                <w:sz w:val="28"/>
                <w:szCs w:val="28"/>
              </w:rPr>
              <w:t>.</w:t>
            </w:r>
          </w:p>
        </w:tc>
      </w:tr>
      <w:tr w:rsidR="00D26534" w:rsidRPr="001801C2" w14:paraId="36A0DAA3"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75A2535E" w14:textId="75B200E3" w:rsidR="00D26534" w:rsidRPr="001801C2" w:rsidRDefault="00AC2552" w:rsidP="00D26534">
            <w:pPr>
              <w:ind w:left="360"/>
              <w:jc w:val="right"/>
            </w:pPr>
            <w:r>
              <w:lastRenderedPageBreak/>
              <w:t>10</w:t>
            </w:r>
          </w:p>
        </w:tc>
        <w:tc>
          <w:tcPr>
            <w:tcW w:w="3260" w:type="dxa"/>
            <w:tcBorders>
              <w:top w:val="single" w:sz="6" w:space="0" w:color="000000"/>
              <w:left w:val="single" w:sz="6" w:space="0" w:color="000000"/>
              <w:bottom w:val="single" w:sz="6" w:space="0" w:color="000000"/>
              <w:right w:val="single" w:sz="6" w:space="0" w:color="000000"/>
            </w:tcBorders>
          </w:tcPr>
          <w:p w14:paraId="7C148ABE" w14:textId="77777777" w:rsidR="00D26534" w:rsidRPr="00173E70" w:rsidRDefault="00D26534" w:rsidP="00D26534">
            <w:pPr>
              <w:jc w:val="both"/>
              <w:rPr>
                <w:i/>
                <w:iCs/>
                <w:color w:val="000000"/>
              </w:rPr>
            </w:pPr>
            <w:proofErr w:type="spellStart"/>
            <w:r w:rsidRPr="00173E70">
              <w:rPr>
                <w:i/>
                <w:iCs/>
                <w:color w:val="000000"/>
              </w:rPr>
              <w:t>Protokollēmuma</w:t>
            </w:r>
            <w:proofErr w:type="spellEnd"/>
            <w:r w:rsidRPr="00173E70">
              <w:rPr>
                <w:i/>
                <w:iCs/>
                <w:color w:val="000000"/>
              </w:rPr>
              <w:t xml:space="preserve"> projekts</w:t>
            </w:r>
          </w:p>
          <w:p w14:paraId="6F652F69" w14:textId="77777777" w:rsidR="00D26534" w:rsidRPr="00173E70" w:rsidRDefault="00D26534" w:rsidP="00D26534">
            <w:pPr>
              <w:jc w:val="both"/>
              <w:rPr>
                <w:i/>
                <w:iCs/>
                <w:color w:val="000000"/>
              </w:rPr>
            </w:pPr>
          </w:p>
        </w:tc>
        <w:tc>
          <w:tcPr>
            <w:tcW w:w="3827" w:type="dxa"/>
            <w:gridSpan w:val="2"/>
            <w:tcBorders>
              <w:top w:val="single" w:sz="6" w:space="0" w:color="000000"/>
              <w:left w:val="single" w:sz="6" w:space="0" w:color="000000"/>
              <w:bottom w:val="single" w:sz="6" w:space="0" w:color="000000"/>
              <w:right w:val="single" w:sz="6" w:space="0" w:color="000000"/>
            </w:tcBorders>
          </w:tcPr>
          <w:p w14:paraId="3B1B8E6A" w14:textId="77777777" w:rsidR="00D26534" w:rsidRDefault="00D26534" w:rsidP="00D26534">
            <w:pPr>
              <w:widowControl w:val="0"/>
              <w:jc w:val="both"/>
            </w:pPr>
            <w:r>
              <w:rPr>
                <w:rFonts w:eastAsia="Calibri"/>
                <w:b/>
                <w:lang w:eastAsia="en-US"/>
              </w:rPr>
              <w:t>Finanšu ministrija (01.07.2019. e-pasta vēstule):</w:t>
            </w:r>
          </w:p>
          <w:p w14:paraId="17D8CF80" w14:textId="2B3347DC" w:rsidR="00D26534" w:rsidRPr="00173E70" w:rsidRDefault="00D26534" w:rsidP="00D26534">
            <w:pPr>
              <w:widowControl w:val="0"/>
              <w:jc w:val="both"/>
              <w:rPr>
                <w:b/>
              </w:rPr>
            </w:pPr>
            <w:r>
              <w:t xml:space="preserve">Lūdzam precizēt </w:t>
            </w:r>
            <w:proofErr w:type="spellStart"/>
            <w:r>
              <w:t>protokollēmuma</w:t>
            </w:r>
            <w:proofErr w:type="spellEnd"/>
            <w:r>
              <w:t xml:space="preserve"> projekta 6.punktu, vārdus “bāzes izdevumus” aizstājot ar vārdiem un skaitli “Labklājības ministrijas pamatbudžeta bāzi 2020., 2021. un 2022.gadam” un attiecīgi precizējot informatīvā ziņojuma projektu, kā arī 7.punktā precizēt gadu, līdz kuram pašvaldībām nepieciešams veikt visas nepieciešamās darbības.</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BEFFAB3" w14:textId="77777777" w:rsidR="00D26534" w:rsidRDefault="00D26534" w:rsidP="00D26534">
            <w:pPr>
              <w:jc w:val="center"/>
              <w:rPr>
                <w:b/>
              </w:rPr>
            </w:pPr>
            <w:r w:rsidRPr="00202DC8">
              <w:rPr>
                <w:b/>
              </w:rPr>
              <w:t>Ņemt</w:t>
            </w:r>
            <w:r>
              <w:rPr>
                <w:b/>
              </w:rPr>
              <w:t>s</w:t>
            </w:r>
            <w:r w:rsidRPr="00202DC8">
              <w:rPr>
                <w:b/>
              </w:rPr>
              <w:t xml:space="preserve"> vērā</w:t>
            </w:r>
          </w:p>
          <w:p w14:paraId="03D10110" w14:textId="71873E52" w:rsidR="00D26534" w:rsidRDefault="001603D0" w:rsidP="00D26534">
            <w:pPr>
              <w:jc w:val="both"/>
            </w:pPr>
            <w:r>
              <w:t>Precizēts</w:t>
            </w:r>
            <w:r w:rsidR="00D26534">
              <w:t xml:space="preserve"> </w:t>
            </w:r>
            <w:proofErr w:type="spellStart"/>
            <w:r w:rsidR="00D26534">
              <w:t>protokollēmuma</w:t>
            </w:r>
            <w:proofErr w:type="spellEnd"/>
            <w:r w:rsidR="00D26534">
              <w:t xml:space="preserve"> 6.punkts, izsakot to jaunā redakcijā</w:t>
            </w:r>
            <w:r w:rsidR="00D26534" w:rsidRPr="00511623">
              <w:t xml:space="preserve"> </w:t>
            </w:r>
          </w:p>
          <w:p w14:paraId="739D1AD1" w14:textId="042282F5" w:rsidR="00D26534" w:rsidRPr="00173E70" w:rsidRDefault="00D26534" w:rsidP="00D26534">
            <w:pPr>
              <w:jc w:val="both"/>
              <w:rPr>
                <w:b/>
              </w:rPr>
            </w:pPr>
            <w:r w:rsidRPr="00511623">
              <w:t xml:space="preserve">Par FM lūgumu precizēt </w:t>
            </w:r>
            <w:proofErr w:type="spellStart"/>
            <w:r w:rsidRPr="00511623">
              <w:t>protokollēmuma</w:t>
            </w:r>
            <w:proofErr w:type="spellEnd"/>
            <w:r w:rsidRPr="00511623">
              <w:t xml:space="preserve"> 7.punktu: </w:t>
            </w:r>
            <w:r w:rsidRPr="00511623">
              <w:br/>
              <w:t>LM 2019.</w:t>
            </w:r>
            <w:r>
              <w:t xml:space="preserve"> </w:t>
            </w:r>
            <w:r w:rsidRPr="00511623">
              <w:t>gada 27.</w:t>
            </w:r>
            <w:r>
              <w:t xml:space="preserve"> </w:t>
            </w:r>
            <w:r w:rsidRPr="00511623">
              <w:t>jūnijā nosūtīja atzinumu Nr. A-21-</w:t>
            </w:r>
            <w:r>
              <w:t xml:space="preserve">09/64, kurā konceptuāli saskaņo </w:t>
            </w:r>
            <w:r w:rsidRPr="00511623">
              <w:t xml:space="preserve">Informatīvo ziņojumu ar nosacījumu, ka tiek ņemti vērā LM precizējumi, kas paredz svītrot </w:t>
            </w:r>
            <w:proofErr w:type="spellStart"/>
            <w:r w:rsidRPr="00511623">
              <w:t>protokollēmuma</w:t>
            </w:r>
            <w:proofErr w:type="spellEnd"/>
            <w:r w:rsidRPr="00511623">
              <w:t xml:space="preserve"> 7.punktu un precizēt informatīvā ziņojuma 1.lpp. 2.rindkopas tekstu, attiecīgi svītrot tekstu: „kā arī Izglītības un zinātnes ministrijai sadarbībā ar Labklājības ministriju (Veselības un darbspēju ekspertīzes ārstu valsts komisiju (turpmāk VDEĀVK)) un pašvaldībām veikt nepieciešamās </w:t>
            </w:r>
            <w:r w:rsidRPr="00511623">
              <w:lastRenderedPageBreak/>
              <w:t>darbības, lai nodrošinātu datu apmaiņu”.</w:t>
            </w:r>
            <w:r>
              <w:t xml:space="preserve"> </w:t>
            </w:r>
          </w:p>
        </w:tc>
        <w:tc>
          <w:tcPr>
            <w:tcW w:w="3272" w:type="dxa"/>
            <w:tcBorders>
              <w:top w:val="single" w:sz="4" w:space="0" w:color="auto"/>
              <w:left w:val="single" w:sz="4" w:space="0" w:color="auto"/>
              <w:bottom w:val="single" w:sz="4" w:space="0" w:color="auto"/>
            </w:tcBorders>
          </w:tcPr>
          <w:p w14:paraId="6D1AC267" w14:textId="5BA93FB2" w:rsidR="00D26534" w:rsidRDefault="001603D0" w:rsidP="00D26534">
            <w:pPr>
              <w:jc w:val="both"/>
              <w:rPr>
                <w:rFonts w:eastAsia="Calibri"/>
              </w:rPr>
            </w:pPr>
            <w:r w:rsidRPr="001603D0">
              <w:lastRenderedPageBreak/>
              <w:t>“6. Labklājības ministrijai līdz 2019. gada 1. augustam izstrādāt nepieciešamo normatīvo aktu grozījumus un precizēt Labklājības ministrijas pamatbudžeta bāzi 2020., 2021. un 2022. gadam asistenta pakalpojuma nodrošināšanai augstākās izglītības posmā 2020. gadā un turpmākajos gados.”</w:t>
            </w:r>
          </w:p>
        </w:tc>
      </w:tr>
      <w:tr w:rsidR="008C76B9" w:rsidRPr="001801C2" w14:paraId="1F6233AB" w14:textId="77777777" w:rsidTr="002456E7">
        <w:trPr>
          <w:gridBefore w:val="1"/>
          <w:wBefore w:w="104" w:type="dxa"/>
        </w:trPr>
        <w:tc>
          <w:tcPr>
            <w:tcW w:w="843" w:type="dxa"/>
            <w:tcBorders>
              <w:top w:val="single" w:sz="6" w:space="0" w:color="000000"/>
              <w:left w:val="single" w:sz="6" w:space="0" w:color="000000"/>
              <w:bottom w:val="single" w:sz="6" w:space="0" w:color="000000"/>
              <w:right w:val="single" w:sz="6" w:space="0" w:color="000000"/>
            </w:tcBorders>
          </w:tcPr>
          <w:p w14:paraId="79DF2F35" w14:textId="49301EE2" w:rsidR="008C76B9" w:rsidRPr="001801C2" w:rsidRDefault="00AC2552" w:rsidP="009C5382">
            <w:pPr>
              <w:ind w:left="360"/>
              <w:jc w:val="center"/>
            </w:pPr>
            <w:r>
              <w:t>11</w:t>
            </w:r>
          </w:p>
        </w:tc>
        <w:tc>
          <w:tcPr>
            <w:tcW w:w="3260" w:type="dxa"/>
            <w:tcBorders>
              <w:top w:val="single" w:sz="6" w:space="0" w:color="000000"/>
              <w:left w:val="single" w:sz="6" w:space="0" w:color="000000"/>
              <w:bottom w:val="single" w:sz="6" w:space="0" w:color="000000"/>
              <w:right w:val="single" w:sz="6" w:space="0" w:color="000000"/>
            </w:tcBorders>
          </w:tcPr>
          <w:p w14:paraId="442AC5B5" w14:textId="77777777" w:rsidR="008C76B9" w:rsidRPr="00EF0328" w:rsidRDefault="008C76B9" w:rsidP="008C76B9">
            <w:pPr>
              <w:jc w:val="both"/>
              <w:rPr>
                <w:i/>
              </w:rPr>
            </w:pPr>
            <w:r w:rsidRPr="00EF0328">
              <w:rPr>
                <w:i/>
              </w:rPr>
              <w:t>Projekts</w:t>
            </w:r>
          </w:p>
          <w:p w14:paraId="689ECEB7" w14:textId="77777777" w:rsidR="00823460" w:rsidRPr="00823460" w:rsidRDefault="00823460" w:rsidP="00823460">
            <w:pPr>
              <w:jc w:val="both"/>
              <w:rPr>
                <w:shd w:val="clear" w:color="auto" w:fill="FFFFFF"/>
              </w:rPr>
            </w:pPr>
            <w:r w:rsidRPr="00823460">
              <w:rPr>
                <w:shd w:val="clear" w:color="auto" w:fill="FFFFFF"/>
              </w:rPr>
              <w:t>Dzīvesvietas deklarēšanas likuma 4. panta pirmā daļa noteic, ka dzīvesvietas maiņas gadījumā personas pienākums ir mēneša laikā, kopš tā pastāvīgi dzīvo jaunajā dzīvesvietā, deklarēt to dzīvesvietas deklarēšanas iestādē, savukārt saskaņā ar 8.panta ceturto daļu personai ir tiesības deklarācijā norādīt papildu adresi (adreses), minot laikposmu, kurā viņš tajā (tajās) ir sasniedzams. Līdz ar to, ja persona ar invaliditāti studiju laikā izvēlās uz laiku dzīvot pašvaldībā, kurā atrodas augstākās izglītības iestāde, un deklarējot dzīvesvietu, uz noteiktu laiku ir norādījusi papildu adresi šajā pašvaldībā, personas var lūgt piešķirt asistenta pakalpojumu tās pašvaldības sociālajā dienestā, kurā atrodas augstākās izglītības iestāde.</w:t>
            </w:r>
          </w:p>
          <w:p w14:paraId="2F6D1E7E" w14:textId="77777777" w:rsidR="00823460" w:rsidRPr="00823460" w:rsidRDefault="00823460" w:rsidP="00823460">
            <w:pPr>
              <w:jc w:val="both"/>
            </w:pPr>
            <w:r w:rsidRPr="00823460">
              <w:t xml:space="preserve">No augstākminētā izriet, ka pakalpojuma saņēmējam – personai ar invaliditāti, ir vairākas iespējas, kā saņemt sev nepieciešamo pakalpojumu </w:t>
            </w:r>
            <w:r w:rsidRPr="00823460">
              <w:lastRenderedPageBreak/>
              <w:t xml:space="preserve">konkrētam mērķim, šajā gadījumā asistenta pakalpojumu augstākās izglītības posmā: </w:t>
            </w:r>
          </w:p>
          <w:p w14:paraId="0837A3B7" w14:textId="77777777" w:rsidR="00823460" w:rsidRPr="00823460" w:rsidRDefault="00823460" w:rsidP="00823460">
            <w:pPr>
              <w:jc w:val="both"/>
            </w:pPr>
            <w:r w:rsidRPr="00823460">
              <w:t>1. pakalpojuma saņēmējs ir deklarēts noteiktajā pašvaldībā, un līgumu par pakalpojuma nodrošināšanu slēdz ar šīs pašvaldības sociālo dienestu;</w:t>
            </w:r>
          </w:p>
          <w:p w14:paraId="59905216" w14:textId="6624E25F" w:rsidR="00823460" w:rsidRPr="00823460" w:rsidRDefault="00823460" w:rsidP="00823460">
            <w:pPr>
              <w:jc w:val="both"/>
            </w:pPr>
            <w:r w:rsidRPr="00823460">
              <w:t>2. gadījumā, ja pakalpojuma saņēmējs maina savu dzīvesvietu un deklarējas citā pašvaldībā (piemēram, izglītības iestādes pašvaldība), tādā gadījumā viņš slēdz līgumu par pakalpojuma nodrošināšanu ar šīs pašvaldības sociālo dienestu;</w:t>
            </w:r>
            <w:r w:rsidRPr="00823460">
              <w:br/>
              <w:t xml:space="preserve">3. saskaņā ar Dzīvesvietas deklarēšanas likuma 8.panta ceturto daļu, personai ir tiesības norādīt papildu adresi uz noteiktu laika posmu, kurā ir pastāvīgi sasniedzama. Saskaņā ar iepriekš minēto, ja pakalpojuma saņēmējs ir deklarēts vienā pašvaldībā un ir norādījis kādu citu pašvaldību kā papildu adresi, tad līgumu par pakalpojumu nodrošināšanu drīkst slēgt tās pašvaldības sociālais dienests, kurā personai ir papildus adrese, vienlaikus šīs pašvaldības sociālajam </w:t>
            </w:r>
            <w:r w:rsidRPr="00823460">
              <w:lastRenderedPageBreak/>
              <w:t>dienestam ir jāpārbauda, vai pakalpojuma pieprasītājam jau nav noslēgts līgums par pakalpojuma saņemšanu ar deklarētās adreses pašvaldību, lai novērstu dubulto valsts finansēšanas riskus. Savukārt atskaites par pakalpojuma sniegšanu un atskaitīšanās kārtību izriet no līgumā noteiktā.</w:t>
            </w:r>
          </w:p>
          <w:p w14:paraId="02230B5B" w14:textId="300D3D8A" w:rsidR="008C76B9" w:rsidRPr="00823460" w:rsidRDefault="00823460" w:rsidP="00823460">
            <w:pPr>
              <w:pStyle w:val="PlainText"/>
              <w:jc w:val="both"/>
              <w:rPr>
                <w:rFonts w:ascii="Times New Roman" w:hAnsi="Times New Roman" w:cs="Times New Roman"/>
                <w:sz w:val="28"/>
                <w:szCs w:val="28"/>
              </w:rPr>
            </w:pPr>
            <w:r w:rsidRPr="00823460">
              <w:rPr>
                <w:rFonts w:ascii="Times New Roman" w:hAnsi="Times New Roman" w:cs="Times New Roman"/>
                <w:sz w:val="24"/>
                <w:szCs w:val="24"/>
              </w:rPr>
              <w:t>Papildus iepriekš minētajam, tiesību normas (Dzīvesvietas deklarēšanas likums un Noteikumi Nr. 942) ir vērtējamas kopsakarā. Ja deklarēšanas prasības pieļauj norādīt personai papildu adresi uz noteiktu laika posmu, tad tas ir attiecināms arī uz asistenta pakalpojumu, lieki neapgrūtinot personas ar administratīvo slogu.</w:t>
            </w:r>
          </w:p>
        </w:tc>
        <w:tc>
          <w:tcPr>
            <w:tcW w:w="3827" w:type="dxa"/>
            <w:gridSpan w:val="2"/>
            <w:tcBorders>
              <w:top w:val="single" w:sz="6" w:space="0" w:color="000000"/>
              <w:left w:val="single" w:sz="6" w:space="0" w:color="000000"/>
              <w:bottom w:val="single" w:sz="6" w:space="0" w:color="000000"/>
              <w:right w:val="single" w:sz="6" w:space="0" w:color="000000"/>
            </w:tcBorders>
          </w:tcPr>
          <w:p w14:paraId="2C8B1D2A" w14:textId="77777777" w:rsidR="008C76B9" w:rsidRDefault="008C76B9" w:rsidP="008C76B9">
            <w:pPr>
              <w:jc w:val="both"/>
            </w:pPr>
            <w:r w:rsidRPr="00EF0328">
              <w:rPr>
                <w:b/>
              </w:rPr>
              <w:lastRenderedPageBreak/>
              <w:t xml:space="preserve">Latvijas Pašvaldību savienība </w:t>
            </w:r>
            <w:r w:rsidRPr="00EF0328">
              <w:t>(09.07</w:t>
            </w:r>
            <w:r>
              <w:t xml:space="preserve">.2019. vēstule </w:t>
            </w:r>
            <w:r w:rsidRPr="00EF0328">
              <w:t>Nr. 201906/SAN887/SP657/NOS510):</w:t>
            </w:r>
          </w:p>
          <w:p w14:paraId="6FEA9046" w14:textId="77777777" w:rsidR="008C76B9" w:rsidRDefault="008C76B9" w:rsidP="008C76B9">
            <w:pPr>
              <w:jc w:val="both"/>
            </w:pPr>
            <w:r w:rsidRPr="00EF0328">
              <w:t xml:space="preserve">Latvijas Pašvaldību savienība (LPS) ir izvērtējusi precizēto informatīvo ziņojumu “Asistenta pakalpojums augstākās izglītības posmā” (Ziņojums) un </w:t>
            </w:r>
            <w:r w:rsidRPr="00EF0328">
              <w:rPr>
                <w:b/>
                <w:bCs/>
              </w:rPr>
              <w:t>iebilst</w:t>
            </w:r>
            <w:r w:rsidRPr="00EF0328">
              <w:t xml:space="preserve"> pret Ziņojuma 4.lpp. iekļauto tekstu un skaidrojumu:</w:t>
            </w:r>
          </w:p>
          <w:p w14:paraId="14ADBA3B" w14:textId="77777777" w:rsidR="008C76B9" w:rsidRDefault="008C76B9" w:rsidP="008C76B9">
            <w:pPr>
              <w:jc w:val="both"/>
            </w:pPr>
            <w:r w:rsidRPr="00EF0328">
              <w:t>“3. saskaņā ar Dzīvesvietas deklarēšanas likuma 8.panta ceturto daļu, personai ir tiesības norādīt papildu adresi uz noteiktu laika posmu, kurā ir pastāvīgi sasniedzama. Saskaņā ar iepriekš minēto, ja pakalpojuma saņēmējs ir deklarēts vienā pašvaldībā un ir norādījis kādu citu pašvaldību kā papildu adresi, tad līgumu par pakalpojumu nodrošināšanu drīkst slēgt tās pašvaldības sociālais dienests, kurā personai ir papildus adrese, vienlaikus šīs pašvaldības sociālajam dienestam ir jāpārbauda, vai pakalpojuma pieprasītājam jau nav noslēgts līgums par pakalpojuma saņemšanu ar deklarētās adreses pašvaldību, lai novērstu dubulto valsts  finansēšanas riskus. Savukārt atskaites par pakalpojuma sniegšanu un atskaitīšanās kārtību izriet no līgumā noteiktā.</w:t>
            </w:r>
          </w:p>
          <w:p w14:paraId="67CE1304" w14:textId="77777777" w:rsidR="008C76B9" w:rsidRDefault="008C76B9" w:rsidP="008C76B9">
            <w:pPr>
              <w:jc w:val="both"/>
            </w:pPr>
            <w:r w:rsidRPr="00EF0328">
              <w:lastRenderedPageBreak/>
              <w:t>Papildus iepriekš minētajam, tiesību normas (Dzīvesvietas deklarēšanas likums un Noteikumi Nr. 942) ir vērtējamas kopsakarā. Ja deklarēšanas prasības pieļauj norādīt personai papildu adresi uz noteiktu laika posmu, tad tas ir attiecināms arī uz asistenta pakalpojumu, lieki neapgrūtinot personas ar administratīvo slogu.</w:t>
            </w:r>
            <w:r>
              <w:t>”</w:t>
            </w:r>
          </w:p>
          <w:p w14:paraId="67BC7963" w14:textId="77777777" w:rsidR="008C76B9" w:rsidRDefault="008C76B9" w:rsidP="008C76B9">
            <w:pPr>
              <w:jc w:val="both"/>
            </w:pPr>
            <w:r w:rsidRPr="00EF0328">
              <w:t xml:space="preserve">Ja normas tiek interpretētas Ziņojumā norādītajā veidā, tad iedzīvotājs var pieprasīt </w:t>
            </w:r>
            <w:r w:rsidRPr="00EF0328">
              <w:rPr>
                <w:i/>
                <w:iCs/>
              </w:rPr>
              <w:t xml:space="preserve">jebkuru pakalpojumu </w:t>
            </w:r>
            <w:r w:rsidRPr="00EF0328">
              <w:t xml:space="preserve">(ne tikai tādu, kas tiek finansēts un administrēts no valsts budžeta, bet arī no pašvaldības budžeta) pašvaldībā, kurā norādīta papildu adrese. </w:t>
            </w:r>
          </w:p>
          <w:p w14:paraId="4489AB3F" w14:textId="77777777" w:rsidR="008C76B9" w:rsidRDefault="008C76B9" w:rsidP="008C76B9">
            <w:pPr>
              <w:jc w:val="both"/>
            </w:pPr>
            <w:r w:rsidRPr="00EF0328">
              <w:t xml:space="preserve">LPS norāda, ka pamatprincips </w:t>
            </w:r>
            <w:r w:rsidRPr="00EF0328">
              <w:rPr>
                <w:i/>
                <w:iCs/>
              </w:rPr>
              <w:t>pašvaldības budžeta finansētu pakalpojumu</w:t>
            </w:r>
            <w:r w:rsidRPr="00EF0328">
              <w:t xml:space="preserve"> sniegšanai iedzīvotājiem ir personas deklarētā dzīvesvieta, ir tikai atsevišķi izņēmumi, kā piemēram, Diasporas likums, Dzīvesvietas deklarēšanas likuma 5.pantā minētie gadījumi. Arī attiecībā uz sociālo pakalpojumu un sociālās palīdzības piešķiršanu Sociālo pakalpojumu un sociālās palīdzības likuma 9.panta pirmā daļa nosaka, ka pašvaldībai, kuras teritorijā ir </w:t>
            </w:r>
            <w:r w:rsidRPr="00EF0328">
              <w:rPr>
                <w:i/>
                <w:iCs/>
              </w:rPr>
              <w:t>deklarētā personas dzīvesvieta</w:t>
            </w:r>
            <w:r w:rsidRPr="00EF0328">
              <w:t xml:space="preserve">, ir pienākums nodrošināt personai iespēju saņemt tās </w:t>
            </w:r>
            <w:r w:rsidRPr="00EF0328">
              <w:lastRenderedPageBreak/>
              <w:t>vajadzībām atbilstošus sociālos pakalpojumus un sociālo palīdzību.</w:t>
            </w:r>
          </w:p>
          <w:p w14:paraId="707B7962" w14:textId="77777777" w:rsidR="008C76B9" w:rsidRDefault="008C76B9" w:rsidP="008C76B9">
            <w:pPr>
              <w:jc w:val="both"/>
            </w:pPr>
            <w:r w:rsidRPr="00EF0328">
              <w:t xml:space="preserve">Turklāt personai šobrīd ir tiesības norādīt </w:t>
            </w:r>
            <w:r w:rsidRPr="00EF0328">
              <w:rPr>
                <w:i/>
                <w:iCs/>
              </w:rPr>
              <w:t>neierobežotu skaitu</w:t>
            </w:r>
            <w:r w:rsidRPr="00EF0328">
              <w:t xml:space="preserve"> papildu adreses. Tātad attiecībā uz sociālā dienesta pienākumu pārbaudīt, vai pakalpojuma pieprasītājam jau nav noslēgts līgums par pakalpojuma saņemšanu ar deklarētās dzīvesvietas pašvaldību, lai novērstu dubulto valsts  finansēšanas riskus, tas būtu attiecināms uz pašvaldībām, </w:t>
            </w:r>
            <w:r w:rsidRPr="00EF0328">
              <w:rPr>
                <w:i/>
                <w:iCs/>
              </w:rPr>
              <w:t>kurās ir gan deklarētā dzīvesvieta, gan norādītas papildu adreses</w:t>
            </w:r>
            <w:r w:rsidRPr="00EF0328">
              <w:t xml:space="preserve">. </w:t>
            </w:r>
          </w:p>
          <w:p w14:paraId="1577425B" w14:textId="4BEC9B36" w:rsidR="008C76B9" w:rsidRDefault="008C76B9" w:rsidP="008C76B9">
            <w:pPr>
              <w:widowControl w:val="0"/>
              <w:jc w:val="both"/>
              <w:rPr>
                <w:rFonts w:eastAsia="Calibri"/>
                <w:b/>
                <w:lang w:eastAsia="en-US"/>
              </w:rPr>
            </w:pPr>
            <w:r w:rsidRPr="00EF0328">
              <w:t xml:space="preserve">Jānorāda, ka uz pašvaldību sociālajos dienestos izmantoto informācijas sistēmu SOPA netiek nodota informācija par personas papildu adresi (adresēm), kā arī par periodu, uz kādu tā norādīta, tātad attiecīgi </w:t>
            </w:r>
            <w:r w:rsidRPr="00EF0328">
              <w:rPr>
                <w:i/>
                <w:iCs/>
              </w:rPr>
              <w:t>nepieciešami informācijas sistēmu pielāgojumi</w:t>
            </w:r>
            <w:r w:rsidRPr="00EF0328">
              <w:t xml:space="preserve"> (uzlabojumi papildu datu attēlošanai SOPA, jautājumi par PMLP datu sinhronizēšanu, šī papildu datu komplekta iegūšana, lai SOPA vienmēr parāda aktuālo situāciju u.tml.).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F0B5523" w14:textId="235384DE" w:rsidR="008C76B9" w:rsidRDefault="008C76B9" w:rsidP="008C76B9">
            <w:pPr>
              <w:jc w:val="center"/>
              <w:rPr>
                <w:b/>
              </w:rPr>
            </w:pPr>
            <w:r w:rsidRPr="00BA66DC">
              <w:rPr>
                <w:b/>
              </w:rPr>
              <w:lastRenderedPageBreak/>
              <w:t>Ņemts vērā</w:t>
            </w:r>
            <w:r>
              <w:rPr>
                <w:b/>
              </w:rPr>
              <w:t xml:space="preserve"> </w:t>
            </w:r>
          </w:p>
          <w:p w14:paraId="1B395B8E" w14:textId="2AE53E34" w:rsidR="006522CB" w:rsidRPr="00B6787F" w:rsidRDefault="000B767E" w:rsidP="008C76B9">
            <w:pPr>
              <w:jc w:val="both"/>
            </w:pPr>
            <w:r>
              <w:t>Saskaņā ar saņemtajiem komentāriem no Labklājības ministrijas un Latvijas Pašvaldību savienības precizēta attiecīga sadaļā</w:t>
            </w:r>
            <w:r w:rsidR="006522CB">
              <w:t xml:space="preserve"> </w:t>
            </w:r>
          </w:p>
        </w:tc>
        <w:tc>
          <w:tcPr>
            <w:tcW w:w="3272" w:type="dxa"/>
            <w:tcBorders>
              <w:top w:val="single" w:sz="4" w:space="0" w:color="auto"/>
              <w:left w:val="single" w:sz="4" w:space="0" w:color="auto"/>
              <w:bottom w:val="single" w:sz="4" w:space="0" w:color="auto"/>
            </w:tcBorders>
          </w:tcPr>
          <w:p w14:paraId="3790239D" w14:textId="77777777" w:rsidR="000B767E" w:rsidRPr="000B767E" w:rsidRDefault="000B767E" w:rsidP="000B767E">
            <w:pPr>
              <w:jc w:val="both"/>
              <w:rPr>
                <w:shd w:val="clear" w:color="auto" w:fill="FFFFFF"/>
              </w:rPr>
            </w:pPr>
            <w:r w:rsidRPr="000B767E">
              <w:rPr>
                <w:shd w:val="clear" w:color="auto" w:fill="FFFFFF"/>
              </w:rPr>
              <w:t>Dzīvesvietas deklarēšanas likuma 4. panta pirmā daļa noteic, ka dzīvesvietas maiņas gadījumā personas pienākums ir mēneša laikā, kopš tā pastāvīgi dzīvo jaunajā dzīvesvietā, deklarēt to dzīvesvietas deklarēšanas iestādē.</w:t>
            </w:r>
          </w:p>
          <w:p w14:paraId="2E59EF41" w14:textId="77777777" w:rsidR="000B767E" w:rsidRDefault="000B767E" w:rsidP="000B767E">
            <w:pPr>
              <w:jc w:val="both"/>
            </w:pPr>
            <w:r w:rsidRPr="000B767E">
              <w:t xml:space="preserve">Personai ar invaliditāti, ir vairākas iespējas, kā saņemt sev nepieciešamo pakalpojumu konkrētam mērķim, piemēram, pakalpojuma saņēmējs ir deklarēts noteiktajā pašvaldībā, un līgumu par pakalpojuma nodrošināšanu slēdz ar šīs pašvaldības sociālo dienestu vai gadījumā, ja pakalpojuma saņēmējs maina savu dzīvesvietu un deklarējas citā pašvaldībā (piemēram, izglītības iestādes pašvaldība), tādā gadījumā viņš slēdz līgumu par pakalpojuma nodrošināšanu ar šīs </w:t>
            </w:r>
            <w:r>
              <w:t>pašvaldības sociālo dienestu.</w:t>
            </w:r>
          </w:p>
          <w:p w14:paraId="2FB305E5" w14:textId="453C1E0F" w:rsidR="000B767E" w:rsidRPr="000B767E" w:rsidRDefault="000B767E" w:rsidP="000B767E">
            <w:pPr>
              <w:jc w:val="both"/>
              <w:rPr>
                <w:highlight w:val="yellow"/>
              </w:rPr>
            </w:pPr>
            <w:r w:rsidRPr="000B767E">
              <w:rPr>
                <w:shd w:val="clear" w:color="auto" w:fill="FFFFFF"/>
              </w:rPr>
              <w:t xml:space="preserve">Tajā pašā laikā, gala risinājums asistenta </w:t>
            </w:r>
            <w:r w:rsidRPr="000B767E">
              <w:t xml:space="preserve">pakalpojuma augstākās izglītības posmā, pieprasīšanai un piešķiršanai, tiks saskaņots Noteikumu Nr. </w:t>
            </w:r>
            <w:r w:rsidRPr="000B767E">
              <w:lastRenderedPageBreak/>
              <w:t>942 izstrādes un saskaņošanas procesā.</w:t>
            </w:r>
            <w:r w:rsidRPr="000B767E">
              <w:tab/>
            </w:r>
          </w:p>
          <w:p w14:paraId="027A0D70" w14:textId="051B198D" w:rsidR="008C76B9" w:rsidRPr="00511623" w:rsidRDefault="000B767E" w:rsidP="000B767E">
            <w:pPr>
              <w:pStyle w:val="PlainText"/>
              <w:jc w:val="both"/>
            </w:pPr>
            <w:r w:rsidRPr="000B767E">
              <w:rPr>
                <w:rFonts w:ascii="Times New Roman" w:hAnsi="Times New Roman" w:cs="Times New Roman"/>
                <w:sz w:val="24"/>
                <w:szCs w:val="24"/>
              </w:rPr>
              <w:tab/>
            </w:r>
          </w:p>
        </w:tc>
      </w:tr>
      <w:tr w:rsidR="005E48D7" w:rsidRPr="00FB036F" w14:paraId="00A1E7D8" w14:textId="77777777" w:rsidTr="00FA4159">
        <w:tblPrEx>
          <w:tblBorders>
            <w:top w:val="none" w:sz="0" w:space="0" w:color="auto"/>
            <w:left w:val="none" w:sz="0" w:space="0" w:color="auto"/>
            <w:bottom w:val="none" w:sz="0" w:space="0" w:color="auto"/>
            <w:right w:val="none" w:sz="0" w:space="0" w:color="auto"/>
          </w:tblBorders>
        </w:tblPrEx>
        <w:trPr>
          <w:gridAfter w:val="3"/>
          <w:wAfter w:w="8914" w:type="dxa"/>
        </w:trPr>
        <w:tc>
          <w:tcPr>
            <w:tcW w:w="5369" w:type="dxa"/>
            <w:gridSpan w:val="4"/>
          </w:tcPr>
          <w:p w14:paraId="44DBB908" w14:textId="77777777" w:rsidR="005E48D7" w:rsidRDefault="005E48D7" w:rsidP="005E48D7">
            <w:pPr>
              <w:pStyle w:val="naiskr"/>
              <w:spacing w:before="0" w:after="0"/>
              <w:jc w:val="center"/>
            </w:pPr>
          </w:p>
          <w:p w14:paraId="3C563E00" w14:textId="77777777" w:rsidR="005E48D7" w:rsidRDefault="005E48D7" w:rsidP="005E48D7">
            <w:pPr>
              <w:pStyle w:val="naiskr"/>
              <w:spacing w:before="0" w:after="0"/>
              <w:jc w:val="center"/>
            </w:pPr>
          </w:p>
          <w:p w14:paraId="53955486" w14:textId="77777777" w:rsidR="005E48D7" w:rsidRDefault="005E48D7" w:rsidP="005E48D7">
            <w:pPr>
              <w:pStyle w:val="naiskr"/>
              <w:spacing w:before="0" w:after="0"/>
              <w:jc w:val="center"/>
            </w:pPr>
            <w:r w:rsidRPr="00FB036F">
              <w:t>Atbildīgā amatpersona</w:t>
            </w:r>
          </w:p>
          <w:p w14:paraId="22D8804F" w14:textId="77777777" w:rsidR="005E48D7" w:rsidRDefault="005E48D7" w:rsidP="005E48D7">
            <w:pPr>
              <w:pStyle w:val="naiskr"/>
              <w:spacing w:before="0" w:after="0"/>
              <w:jc w:val="center"/>
            </w:pPr>
          </w:p>
          <w:p w14:paraId="66BF1231" w14:textId="77777777" w:rsidR="005E48D7" w:rsidRDefault="005E48D7" w:rsidP="005E48D7">
            <w:pPr>
              <w:rPr>
                <w:sz w:val="20"/>
                <w:szCs w:val="20"/>
              </w:rPr>
            </w:pPr>
            <w:r>
              <w:rPr>
                <w:sz w:val="20"/>
                <w:szCs w:val="20"/>
              </w:rPr>
              <w:t xml:space="preserve">M. Laudere, 67047895 </w:t>
            </w:r>
          </w:p>
          <w:p w14:paraId="4B29C42E" w14:textId="77777777" w:rsidR="005E48D7" w:rsidRDefault="00910A2E" w:rsidP="005E48D7">
            <w:pPr>
              <w:rPr>
                <w:sz w:val="20"/>
                <w:szCs w:val="20"/>
              </w:rPr>
            </w:pPr>
            <w:hyperlink r:id="rId8" w:history="1">
              <w:r w:rsidR="005E48D7" w:rsidRPr="003B58AB">
                <w:rPr>
                  <w:rStyle w:val="Hyperlink"/>
                  <w:sz w:val="20"/>
                  <w:szCs w:val="20"/>
                </w:rPr>
                <w:t>marika.laudere@izm.gov.lv</w:t>
              </w:r>
            </w:hyperlink>
          </w:p>
          <w:p w14:paraId="1C580582" w14:textId="77777777" w:rsidR="005E48D7" w:rsidRPr="004F18B2" w:rsidRDefault="005E48D7" w:rsidP="005E48D7">
            <w:pPr>
              <w:rPr>
                <w:sz w:val="20"/>
                <w:szCs w:val="20"/>
              </w:rPr>
            </w:pPr>
          </w:p>
          <w:p w14:paraId="77D81C2C" w14:textId="77777777" w:rsidR="005E48D7" w:rsidRDefault="005E48D7" w:rsidP="005E48D7">
            <w:pPr>
              <w:pStyle w:val="naiskr"/>
              <w:spacing w:before="0" w:after="0"/>
              <w:jc w:val="center"/>
            </w:pPr>
          </w:p>
          <w:p w14:paraId="68402A41" w14:textId="77777777" w:rsidR="005E48D7" w:rsidRPr="00FB036F" w:rsidRDefault="005E48D7" w:rsidP="00A85BB3">
            <w:pPr>
              <w:pStyle w:val="naiskr"/>
              <w:spacing w:before="0" w:after="0"/>
              <w:jc w:val="center"/>
            </w:pPr>
          </w:p>
        </w:tc>
      </w:tr>
    </w:tbl>
    <w:p w14:paraId="6DBF9140" w14:textId="77777777" w:rsidR="001801C2" w:rsidRPr="00FB036F" w:rsidRDefault="001801C2" w:rsidP="005F5C7A">
      <w:pPr>
        <w:pStyle w:val="naisf"/>
        <w:spacing w:before="0" w:after="0"/>
        <w:ind w:firstLine="0"/>
        <w:jc w:val="center"/>
        <w:rPr>
          <w:rFonts w:eastAsia="SimSun"/>
          <w:lang w:eastAsia="zh-CN" w:bidi="he-IL"/>
        </w:rPr>
      </w:pPr>
    </w:p>
    <w:sectPr w:rsidR="001801C2" w:rsidRPr="00FB036F" w:rsidSect="00292005">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54EF1" w14:textId="77777777" w:rsidR="00910A2E" w:rsidRDefault="00910A2E">
      <w:r>
        <w:separator/>
      </w:r>
    </w:p>
  </w:endnote>
  <w:endnote w:type="continuationSeparator" w:id="0">
    <w:p w14:paraId="4167082E" w14:textId="77777777" w:rsidR="00910A2E" w:rsidRDefault="009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9702A" w14:textId="1EC22DAC" w:rsidR="006522CB" w:rsidRPr="005F5C7A" w:rsidRDefault="006522CB" w:rsidP="00B14327">
    <w:pPr>
      <w:pStyle w:val="Footer"/>
    </w:pPr>
    <w:r w:rsidRPr="00A21E54">
      <w:rPr>
        <w:sz w:val="20"/>
        <w:szCs w:val="20"/>
      </w:rPr>
      <w:t>I</w:t>
    </w:r>
    <w:r w:rsidR="00C6139D">
      <w:rPr>
        <w:sz w:val="20"/>
        <w:szCs w:val="20"/>
      </w:rPr>
      <w:t>ZMIzz_10</w:t>
    </w:r>
    <w:r>
      <w:rPr>
        <w:sz w:val="20"/>
        <w:szCs w:val="20"/>
      </w:rPr>
      <w:t>07</w:t>
    </w:r>
    <w:r w:rsidRPr="00A21E54">
      <w:rPr>
        <w:sz w:val="20"/>
        <w:szCs w:val="20"/>
      </w:rPr>
      <w:t>19_</w:t>
    </w:r>
    <w:r>
      <w:rPr>
        <w:sz w:val="20"/>
        <w:szCs w:val="20"/>
      </w:rPr>
      <w:t>asistenta_pakalpojums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3839" w14:textId="479B61D1" w:rsidR="006522CB" w:rsidRPr="00CA42B5" w:rsidRDefault="00C6139D" w:rsidP="009E241E">
    <w:pPr>
      <w:jc w:val="both"/>
      <w:rPr>
        <w:sz w:val="20"/>
        <w:szCs w:val="20"/>
      </w:rPr>
    </w:pPr>
    <w:r>
      <w:rPr>
        <w:sz w:val="20"/>
        <w:szCs w:val="20"/>
      </w:rPr>
      <w:t>IZMIzz_10</w:t>
    </w:r>
    <w:r w:rsidR="006522CB">
      <w:rPr>
        <w:sz w:val="20"/>
        <w:szCs w:val="20"/>
      </w:rPr>
      <w:t>0719_asistenta_pakalpojums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D18C8" w14:textId="77777777" w:rsidR="00910A2E" w:rsidRDefault="00910A2E">
      <w:r>
        <w:separator/>
      </w:r>
    </w:p>
  </w:footnote>
  <w:footnote w:type="continuationSeparator" w:id="0">
    <w:p w14:paraId="4AB58BD8" w14:textId="77777777" w:rsidR="00910A2E" w:rsidRDefault="00910A2E">
      <w:r>
        <w:continuationSeparator/>
      </w:r>
    </w:p>
  </w:footnote>
  <w:footnote w:id="1">
    <w:p w14:paraId="377F60B6" w14:textId="77777777" w:rsidR="006522CB" w:rsidRPr="00682C9B" w:rsidRDefault="006522CB" w:rsidP="00BA6AF5">
      <w:pPr>
        <w:pStyle w:val="FootnoteText"/>
      </w:pPr>
      <w:r w:rsidRPr="00682C9B">
        <w:rPr>
          <w:rStyle w:val="FootnoteReference"/>
        </w:rPr>
        <w:footnoteRef/>
      </w:r>
      <w:r w:rsidRPr="00682C9B">
        <w:t xml:space="preserve"> Invalidit</w:t>
      </w:r>
      <w:r>
        <w:t>ātes likuma 12. panta otrā daļa</w:t>
      </w:r>
      <w:r w:rsidRPr="00682C9B">
        <w:t xml:space="preserve"> Ministru kabineta 2014. gada 23. decembra noteikumu Nr. 805 “Noteikumi par prognozējamas invaliditātes, invaliditātes un darbspēju zaudējuma noteikšanas kritērijiem, termiņiem un kārtību” 21.1.5. apakšpunkt</w:t>
      </w:r>
      <w:r>
        <w:t>s</w:t>
      </w:r>
      <w:r w:rsidRPr="00682C9B">
        <w:t>, Ministru kabineta 2012. gada 18. decembra noteikumu Nr. 942 “Kārtība, kādā piešķir un finansē asistenta pakalpojumu pašvaldībā” 2.punkts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BFD2" w14:textId="77777777" w:rsidR="006522CB" w:rsidRDefault="006522CB"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70C863" w14:textId="77777777" w:rsidR="006522CB" w:rsidRDefault="00652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B6EAF" w14:textId="77777777" w:rsidR="006522CB" w:rsidRDefault="006522CB"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2552">
      <w:rPr>
        <w:rStyle w:val="PageNumber"/>
        <w:noProof/>
      </w:rPr>
      <w:t>21</w:t>
    </w:r>
    <w:r>
      <w:rPr>
        <w:rStyle w:val="PageNumber"/>
      </w:rPr>
      <w:fldChar w:fldCharType="end"/>
    </w:r>
  </w:p>
  <w:p w14:paraId="3CB2115B" w14:textId="77777777" w:rsidR="006522CB" w:rsidRDefault="00652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EAF"/>
    <w:multiLevelType w:val="hybridMultilevel"/>
    <w:tmpl w:val="A2E83BF6"/>
    <w:lvl w:ilvl="0" w:tplc="89FCF0D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B12E4A"/>
    <w:multiLevelType w:val="hybridMultilevel"/>
    <w:tmpl w:val="7012E4EA"/>
    <w:lvl w:ilvl="0" w:tplc="31FABD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F97B66"/>
    <w:multiLevelType w:val="hybridMultilevel"/>
    <w:tmpl w:val="AFDE6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467AC7"/>
    <w:multiLevelType w:val="hybridMultilevel"/>
    <w:tmpl w:val="61B272F2"/>
    <w:lvl w:ilvl="0" w:tplc="6FCED5F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0D1351B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F210B66"/>
    <w:multiLevelType w:val="multilevel"/>
    <w:tmpl w:val="B85AC45A"/>
    <w:lvl w:ilvl="0">
      <w:start w:val="1"/>
      <w:numFmt w:val="decimal"/>
      <w:lvlText w:val="%1."/>
      <w:lvlJc w:val="left"/>
      <w:pPr>
        <w:tabs>
          <w:tab w:val="num" w:pos="502"/>
        </w:tabs>
        <w:ind w:left="502" w:hanging="360"/>
      </w:pPr>
      <w:rPr>
        <w:color w:val="auto"/>
        <w:sz w:val="28"/>
        <w:szCs w:val="28"/>
      </w:rPr>
    </w:lvl>
    <w:lvl w:ilvl="1">
      <w:start w:val="1"/>
      <w:numFmt w:val="decimal"/>
      <w:lvlText w:val="%1.%2."/>
      <w:lvlJc w:val="left"/>
      <w:pPr>
        <w:tabs>
          <w:tab w:val="num" w:pos="716"/>
        </w:tabs>
        <w:ind w:left="716"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1801687"/>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168C1B2B"/>
    <w:multiLevelType w:val="hybridMultilevel"/>
    <w:tmpl w:val="D3A86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FB1BCB"/>
    <w:multiLevelType w:val="hybridMultilevel"/>
    <w:tmpl w:val="AFC0C74C"/>
    <w:lvl w:ilvl="0" w:tplc="0426000F">
      <w:start w:val="1"/>
      <w:numFmt w:val="decimal"/>
      <w:lvlText w:val="%1."/>
      <w:lvlJc w:val="left"/>
      <w:pPr>
        <w:ind w:left="80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19F752A5"/>
    <w:multiLevelType w:val="multilevel"/>
    <w:tmpl w:val="6924F182"/>
    <w:lvl w:ilvl="0">
      <w:start w:val="30"/>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BBB78CD"/>
    <w:multiLevelType w:val="hybridMultilevel"/>
    <w:tmpl w:val="361E8512"/>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3" w15:restartNumberingAfterBreak="0">
    <w:nsid w:val="1D7D093F"/>
    <w:multiLevelType w:val="multilevel"/>
    <w:tmpl w:val="CA76AEC0"/>
    <w:lvl w:ilvl="0">
      <w:start w:val="2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1E2C39B7"/>
    <w:multiLevelType w:val="hybridMultilevel"/>
    <w:tmpl w:val="BA8ADFBA"/>
    <w:lvl w:ilvl="0" w:tplc="62942132">
      <w:start w:val="1"/>
      <w:numFmt w:val="decimal"/>
      <w:lvlText w:val="%1."/>
      <w:lvlJc w:val="left"/>
      <w:pPr>
        <w:ind w:left="1353" w:hanging="360"/>
      </w:pPr>
      <w:rPr>
        <w:rFonts w:cs="Times New Roman" w:hint="default"/>
        <w:sz w:val="24"/>
        <w:szCs w:val="24"/>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5" w15:restartNumberingAfterBreak="0">
    <w:nsid w:val="238D1735"/>
    <w:multiLevelType w:val="hybridMultilevel"/>
    <w:tmpl w:val="A4E2F116"/>
    <w:lvl w:ilvl="0" w:tplc="D320088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52A69F9"/>
    <w:multiLevelType w:val="multilevel"/>
    <w:tmpl w:val="8564DE24"/>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53B062A"/>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9" w15:restartNumberingAfterBreak="0">
    <w:nsid w:val="28B84312"/>
    <w:multiLevelType w:val="hybridMultilevel"/>
    <w:tmpl w:val="3E5EFACC"/>
    <w:lvl w:ilvl="0" w:tplc="7E8E8C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3A3358D"/>
    <w:multiLevelType w:val="hybridMultilevel"/>
    <w:tmpl w:val="17522766"/>
    <w:lvl w:ilvl="0" w:tplc="B4580EC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6051A85"/>
    <w:multiLevelType w:val="hybridMultilevel"/>
    <w:tmpl w:val="B3A08A62"/>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360819F7"/>
    <w:multiLevelType w:val="hybridMultilevel"/>
    <w:tmpl w:val="28BE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A6598"/>
    <w:multiLevelType w:val="multilevel"/>
    <w:tmpl w:val="93E0964E"/>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BBE30A6"/>
    <w:multiLevelType w:val="hybridMultilevel"/>
    <w:tmpl w:val="8BCE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25A76"/>
    <w:multiLevelType w:val="multilevel"/>
    <w:tmpl w:val="D958AE56"/>
    <w:lvl w:ilvl="0">
      <w:start w:val="2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4FD7364"/>
    <w:multiLevelType w:val="hybridMultilevel"/>
    <w:tmpl w:val="3BA6C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060232"/>
    <w:multiLevelType w:val="multilevel"/>
    <w:tmpl w:val="D958AE56"/>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CD135B5"/>
    <w:multiLevelType w:val="hybridMultilevel"/>
    <w:tmpl w:val="A484DF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BD1BCB"/>
    <w:multiLevelType w:val="hybridMultilevel"/>
    <w:tmpl w:val="093CC27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4DE91AF1"/>
    <w:multiLevelType w:val="hybridMultilevel"/>
    <w:tmpl w:val="38F46D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CD2EE2"/>
    <w:multiLevelType w:val="hybridMultilevel"/>
    <w:tmpl w:val="3F8C665E"/>
    <w:lvl w:ilvl="0" w:tplc="422ABB10">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2" w15:restartNumberingAfterBreak="0">
    <w:nsid w:val="532D3E91"/>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3510638"/>
    <w:multiLevelType w:val="hybridMultilevel"/>
    <w:tmpl w:val="F648E2D2"/>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4870A22"/>
    <w:multiLevelType w:val="multilevel"/>
    <w:tmpl w:val="BA087620"/>
    <w:lvl w:ilvl="0">
      <w:start w:val="2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5D7176A0"/>
    <w:multiLevelType w:val="hybridMultilevel"/>
    <w:tmpl w:val="9042A690"/>
    <w:lvl w:ilvl="0" w:tplc="73389E00">
      <w:start w:val="1"/>
      <w:numFmt w:val="decimal"/>
      <w:lvlText w:val="%1)"/>
      <w:lvlJc w:val="left"/>
      <w:pPr>
        <w:ind w:left="867" w:hanging="360"/>
      </w:pPr>
      <w:rPr>
        <w:rFonts w:ascii="Times New Roman" w:hAnsi="Times New Roman" w:cs="Times New Roman"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6" w15:restartNumberingAfterBreak="0">
    <w:nsid w:val="5EE007AA"/>
    <w:multiLevelType w:val="hybridMultilevel"/>
    <w:tmpl w:val="52A27E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8F5216"/>
    <w:multiLevelType w:val="multilevel"/>
    <w:tmpl w:val="B41E5226"/>
    <w:lvl w:ilvl="0">
      <w:start w:val="2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829497F"/>
    <w:multiLevelType w:val="hybridMultilevel"/>
    <w:tmpl w:val="425EA3D8"/>
    <w:lvl w:ilvl="0" w:tplc="A8AEA1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6C537E87"/>
    <w:multiLevelType w:val="multilevel"/>
    <w:tmpl w:val="AAE45D52"/>
    <w:lvl w:ilvl="0">
      <w:start w:val="2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6DD43547"/>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6FCF3AD1"/>
    <w:multiLevelType w:val="hybridMultilevel"/>
    <w:tmpl w:val="21DA0268"/>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39154C8"/>
    <w:multiLevelType w:val="hybridMultilevel"/>
    <w:tmpl w:val="D6D659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E4E576B"/>
    <w:multiLevelType w:val="hybridMultilevel"/>
    <w:tmpl w:val="C5C81DCA"/>
    <w:lvl w:ilvl="0" w:tplc="0C8806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8"/>
  </w:num>
  <w:num w:numId="2">
    <w:abstractNumId w:val="39"/>
  </w:num>
  <w:num w:numId="3">
    <w:abstractNumId w:val="2"/>
  </w:num>
  <w:num w:numId="4">
    <w:abstractNumId w:val="19"/>
  </w:num>
  <w:num w:numId="5">
    <w:abstractNumId w:val="14"/>
  </w:num>
  <w:num w:numId="6">
    <w:abstractNumId w:val="22"/>
  </w:num>
  <w:num w:numId="7">
    <w:abstractNumId w:val="24"/>
  </w:num>
  <w:num w:numId="8">
    <w:abstractNumId w:val="35"/>
  </w:num>
  <w:num w:numId="9">
    <w:abstractNumId w:val="1"/>
  </w:num>
  <w:num w:numId="10">
    <w:abstractNumId w:val="15"/>
  </w:num>
  <w:num w:numId="11">
    <w:abstractNumId w:val="8"/>
  </w:num>
  <w:num w:numId="12">
    <w:abstractNumId w:val="32"/>
  </w:num>
  <w:num w:numId="13">
    <w:abstractNumId w:val="41"/>
  </w:num>
  <w:num w:numId="14">
    <w:abstractNumId w:val="4"/>
  </w:num>
  <w:num w:numId="15">
    <w:abstractNumId w:val="44"/>
  </w:num>
  <w:num w:numId="16">
    <w:abstractNumId w:val="17"/>
  </w:num>
  <w:num w:numId="17">
    <w:abstractNumId w:val="38"/>
  </w:num>
  <w:num w:numId="18">
    <w:abstractNumId w:val="12"/>
  </w:num>
  <w:num w:numId="19">
    <w:abstractNumId w:val="5"/>
  </w:num>
  <w:num w:numId="20">
    <w:abstractNumId w:val="20"/>
  </w:num>
  <w:num w:numId="21">
    <w:abstractNumId w:val="34"/>
  </w:num>
  <w:num w:numId="22">
    <w:abstractNumId w:val="16"/>
  </w:num>
  <w:num w:numId="23">
    <w:abstractNumId w:val="13"/>
  </w:num>
  <w:num w:numId="24">
    <w:abstractNumId w:val="37"/>
  </w:num>
  <w:num w:numId="25">
    <w:abstractNumId w:val="31"/>
  </w:num>
  <w:num w:numId="26">
    <w:abstractNumId w:val="23"/>
  </w:num>
  <w:num w:numId="27">
    <w:abstractNumId w:val="27"/>
  </w:num>
  <w:num w:numId="28">
    <w:abstractNumId w:val="6"/>
  </w:num>
  <w:num w:numId="29">
    <w:abstractNumId w:val="25"/>
  </w:num>
  <w:num w:numId="30">
    <w:abstractNumId w:val="40"/>
  </w:num>
  <w:num w:numId="31">
    <w:abstractNumId w:val="11"/>
  </w:num>
  <w:num w:numId="32">
    <w:abstractNumId w:val="29"/>
  </w:num>
  <w:num w:numId="33">
    <w:abstractNumId w:val="0"/>
  </w:num>
  <w:num w:numId="34">
    <w:abstractNumId w:val="26"/>
  </w:num>
  <w:num w:numId="35">
    <w:abstractNumId w:val="36"/>
  </w:num>
  <w:num w:numId="36">
    <w:abstractNumId w:val="33"/>
  </w:num>
  <w:num w:numId="37">
    <w:abstractNumId w:val="21"/>
  </w:num>
  <w:num w:numId="38">
    <w:abstractNumId w:val="10"/>
  </w:num>
  <w:num w:numId="39">
    <w:abstractNumId w:val="9"/>
  </w:num>
  <w:num w:numId="40">
    <w:abstractNumId w:val="42"/>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0"/>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167C"/>
    <w:rsid w:val="000027FC"/>
    <w:rsid w:val="00003AAA"/>
    <w:rsid w:val="0000411A"/>
    <w:rsid w:val="00004272"/>
    <w:rsid w:val="00004754"/>
    <w:rsid w:val="00004D7A"/>
    <w:rsid w:val="0000513E"/>
    <w:rsid w:val="00005344"/>
    <w:rsid w:val="00013193"/>
    <w:rsid w:val="0001436C"/>
    <w:rsid w:val="000148B4"/>
    <w:rsid w:val="00016F14"/>
    <w:rsid w:val="00022E36"/>
    <w:rsid w:val="00024C1E"/>
    <w:rsid w:val="000253C9"/>
    <w:rsid w:val="000263F1"/>
    <w:rsid w:val="00026861"/>
    <w:rsid w:val="000324EC"/>
    <w:rsid w:val="000328C0"/>
    <w:rsid w:val="00033045"/>
    <w:rsid w:val="00033ACD"/>
    <w:rsid w:val="00035898"/>
    <w:rsid w:val="00035D31"/>
    <w:rsid w:val="00037D92"/>
    <w:rsid w:val="000414A8"/>
    <w:rsid w:val="00046F0F"/>
    <w:rsid w:val="0006246C"/>
    <w:rsid w:val="00071F03"/>
    <w:rsid w:val="00073FD4"/>
    <w:rsid w:val="00076AF7"/>
    <w:rsid w:val="00080393"/>
    <w:rsid w:val="00081169"/>
    <w:rsid w:val="00082CDC"/>
    <w:rsid w:val="00084C7C"/>
    <w:rsid w:val="000908A8"/>
    <w:rsid w:val="0009209E"/>
    <w:rsid w:val="00094533"/>
    <w:rsid w:val="0009535C"/>
    <w:rsid w:val="0009555C"/>
    <w:rsid w:val="0009562C"/>
    <w:rsid w:val="00097A7D"/>
    <w:rsid w:val="000A107B"/>
    <w:rsid w:val="000A1DAD"/>
    <w:rsid w:val="000A27C2"/>
    <w:rsid w:val="000A3B76"/>
    <w:rsid w:val="000A5207"/>
    <w:rsid w:val="000A65CF"/>
    <w:rsid w:val="000A7174"/>
    <w:rsid w:val="000B0183"/>
    <w:rsid w:val="000B1D14"/>
    <w:rsid w:val="000B3A61"/>
    <w:rsid w:val="000B46D0"/>
    <w:rsid w:val="000B4D4E"/>
    <w:rsid w:val="000B5521"/>
    <w:rsid w:val="000B5DA2"/>
    <w:rsid w:val="000B6096"/>
    <w:rsid w:val="000B767E"/>
    <w:rsid w:val="000C28E4"/>
    <w:rsid w:val="000C3DEE"/>
    <w:rsid w:val="000C54CD"/>
    <w:rsid w:val="000C64EC"/>
    <w:rsid w:val="000C6C10"/>
    <w:rsid w:val="000C7225"/>
    <w:rsid w:val="000D1956"/>
    <w:rsid w:val="000D705C"/>
    <w:rsid w:val="000D708E"/>
    <w:rsid w:val="000D7504"/>
    <w:rsid w:val="000D784C"/>
    <w:rsid w:val="000E3F69"/>
    <w:rsid w:val="000E47ED"/>
    <w:rsid w:val="000E555E"/>
    <w:rsid w:val="000E6A5D"/>
    <w:rsid w:val="000F23DA"/>
    <w:rsid w:val="000F2CE5"/>
    <w:rsid w:val="000F34C8"/>
    <w:rsid w:val="000F463B"/>
    <w:rsid w:val="000F4DC5"/>
    <w:rsid w:val="000F62FD"/>
    <w:rsid w:val="00105302"/>
    <w:rsid w:val="00105573"/>
    <w:rsid w:val="00106CD6"/>
    <w:rsid w:val="001104AF"/>
    <w:rsid w:val="00110520"/>
    <w:rsid w:val="00110DC1"/>
    <w:rsid w:val="00115CCB"/>
    <w:rsid w:val="00122AD6"/>
    <w:rsid w:val="001253B2"/>
    <w:rsid w:val="001321A3"/>
    <w:rsid w:val="001323F7"/>
    <w:rsid w:val="0013314F"/>
    <w:rsid w:val="0013507E"/>
    <w:rsid w:val="00137094"/>
    <w:rsid w:val="00137AC9"/>
    <w:rsid w:val="00137C99"/>
    <w:rsid w:val="001438CF"/>
    <w:rsid w:val="00144F98"/>
    <w:rsid w:val="00146A4C"/>
    <w:rsid w:val="00147AC8"/>
    <w:rsid w:val="00152846"/>
    <w:rsid w:val="0015535A"/>
    <w:rsid w:val="001603D0"/>
    <w:rsid w:val="00162769"/>
    <w:rsid w:val="00167477"/>
    <w:rsid w:val="00171A3D"/>
    <w:rsid w:val="00172A21"/>
    <w:rsid w:val="0017316C"/>
    <w:rsid w:val="00174412"/>
    <w:rsid w:val="001749CA"/>
    <w:rsid w:val="0017685C"/>
    <w:rsid w:val="001801C2"/>
    <w:rsid w:val="00185CB8"/>
    <w:rsid w:val="0019179D"/>
    <w:rsid w:val="00192E17"/>
    <w:rsid w:val="00196047"/>
    <w:rsid w:val="001A0B19"/>
    <w:rsid w:val="001A2DEC"/>
    <w:rsid w:val="001A4ED2"/>
    <w:rsid w:val="001A58AC"/>
    <w:rsid w:val="001A5E1D"/>
    <w:rsid w:val="001A6313"/>
    <w:rsid w:val="001A6C82"/>
    <w:rsid w:val="001B0580"/>
    <w:rsid w:val="001B79ED"/>
    <w:rsid w:val="001C5A4F"/>
    <w:rsid w:val="001C6B0D"/>
    <w:rsid w:val="001D2334"/>
    <w:rsid w:val="001D44FD"/>
    <w:rsid w:val="001D5B48"/>
    <w:rsid w:val="001E186C"/>
    <w:rsid w:val="001E242E"/>
    <w:rsid w:val="001E2CA4"/>
    <w:rsid w:val="001E3FDE"/>
    <w:rsid w:val="001E51F0"/>
    <w:rsid w:val="001E5648"/>
    <w:rsid w:val="001F02FE"/>
    <w:rsid w:val="001F3E6F"/>
    <w:rsid w:val="001F656B"/>
    <w:rsid w:val="002013A2"/>
    <w:rsid w:val="002028A1"/>
    <w:rsid w:val="00203652"/>
    <w:rsid w:val="00205A9B"/>
    <w:rsid w:val="00205E80"/>
    <w:rsid w:val="0020707B"/>
    <w:rsid w:val="00215446"/>
    <w:rsid w:val="002160B8"/>
    <w:rsid w:val="00216795"/>
    <w:rsid w:val="00217206"/>
    <w:rsid w:val="00217C48"/>
    <w:rsid w:val="00223C61"/>
    <w:rsid w:val="00225649"/>
    <w:rsid w:val="002257EC"/>
    <w:rsid w:val="00226FC8"/>
    <w:rsid w:val="002314D5"/>
    <w:rsid w:val="002322AC"/>
    <w:rsid w:val="0023338F"/>
    <w:rsid w:val="002359FC"/>
    <w:rsid w:val="00240088"/>
    <w:rsid w:val="00240B06"/>
    <w:rsid w:val="0024188B"/>
    <w:rsid w:val="002453E1"/>
    <w:rsid w:val="002454B7"/>
    <w:rsid w:val="002456E7"/>
    <w:rsid w:val="002468F0"/>
    <w:rsid w:val="00252B37"/>
    <w:rsid w:val="0025539F"/>
    <w:rsid w:val="00261EC2"/>
    <w:rsid w:val="002620B7"/>
    <w:rsid w:val="00263D99"/>
    <w:rsid w:val="00263FCD"/>
    <w:rsid w:val="002649A9"/>
    <w:rsid w:val="00265C72"/>
    <w:rsid w:val="00270EF5"/>
    <w:rsid w:val="0027527E"/>
    <w:rsid w:val="00275566"/>
    <w:rsid w:val="00281835"/>
    <w:rsid w:val="00281CEE"/>
    <w:rsid w:val="00283939"/>
    <w:rsid w:val="00284876"/>
    <w:rsid w:val="002900AB"/>
    <w:rsid w:val="00290D73"/>
    <w:rsid w:val="00290E19"/>
    <w:rsid w:val="00292005"/>
    <w:rsid w:val="00293AD4"/>
    <w:rsid w:val="0029412C"/>
    <w:rsid w:val="002966CA"/>
    <w:rsid w:val="002968AB"/>
    <w:rsid w:val="0029723D"/>
    <w:rsid w:val="002A0253"/>
    <w:rsid w:val="002A4F3D"/>
    <w:rsid w:val="002A61A5"/>
    <w:rsid w:val="002A6B79"/>
    <w:rsid w:val="002B031C"/>
    <w:rsid w:val="002B0FDF"/>
    <w:rsid w:val="002B1498"/>
    <w:rsid w:val="002B1F31"/>
    <w:rsid w:val="002B424E"/>
    <w:rsid w:val="002B6540"/>
    <w:rsid w:val="002C11A1"/>
    <w:rsid w:val="002C1DEA"/>
    <w:rsid w:val="002C20A2"/>
    <w:rsid w:val="002C6685"/>
    <w:rsid w:val="002C7B68"/>
    <w:rsid w:val="002D016B"/>
    <w:rsid w:val="002D1747"/>
    <w:rsid w:val="002D2F84"/>
    <w:rsid w:val="002D4B24"/>
    <w:rsid w:val="002D65A2"/>
    <w:rsid w:val="002D72D0"/>
    <w:rsid w:val="002D742E"/>
    <w:rsid w:val="002E0869"/>
    <w:rsid w:val="002E5E81"/>
    <w:rsid w:val="002F0705"/>
    <w:rsid w:val="002F1601"/>
    <w:rsid w:val="002F4C7F"/>
    <w:rsid w:val="002F7197"/>
    <w:rsid w:val="0030124E"/>
    <w:rsid w:val="00301DEE"/>
    <w:rsid w:val="00304D94"/>
    <w:rsid w:val="00306229"/>
    <w:rsid w:val="003118FA"/>
    <w:rsid w:val="00312409"/>
    <w:rsid w:val="0031438E"/>
    <w:rsid w:val="00315777"/>
    <w:rsid w:val="003220F9"/>
    <w:rsid w:val="00322F7C"/>
    <w:rsid w:val="003269EF"/>
    <w:rsid w:val="003271E0"/>
    <w:rsid w:val="00334E25"/>
    <w:rsid w:val="0034080C"/>
    <w:rsid w:val="0034354F"/>
    <w:rsid w:val="00347157"/>
    <w:rsid w:val="003474C2"/>
    <w:rsid w:val="0035556B"/>
    <w:rsid w:val="00355BBF"/>
    <w:rsid w:val="003628B2"/>
    <w:rsid w:val="003655B9"/>
    <w:rsid w:val="00367774"/>
    <w:rsid w:val="00373C81"/>
    <w:rsid w:val="00383ECB"/>
    <w:rsid w:val="0038642B"/>
    <w:rsid w:val="00386C28"/>
    <w:rsid w:val="003908FB"/>
    <w:rsid w:val="003919D6"/>
    <w:rsid w:val="003948EB"/>
    <w:rsid w:val="00395718"/>
    <w:rsid w:val="00395E1B"/>
    <w:rsid w:val="003A30DE"/>
    <w:rsid w:val="003A3F78"/>
    <w:rsid w:val="003A719E"/>
    <w:rsid w:val="003A7B9F"/>
    <w:rsid w:val="003B1B5D"/>
    <w:rsid w:val="003B1FDC"/>
    <w:rsid w:val="003B251D"/>
    <w:rsid w:val="003B36B3"/>
    <w:rsid w:val="003B40C3"/>
    <w:rsid w:val="003B464F"/>
    <w:rsid w:val="003C0E4F"/>
    <w:rsid w:val="003C1F95"/>
    <w:rsid w:val="003C1FBE"/>
    <w:rsid w:val="003C255E"/>
    <w:rsid w:val="003C2E3F"/>
    <w:rsid w:val="003C32D8"/>
    <w:rsid w:val="003C388D"/>
    <w:rsid w:val="003C3E7E"/>
    <w:rsid w:val="003C4022"/>
    <w:rsid w:val="003C510B"/>
    <w:rsid w:val="003C731F"/>
    <w:rsid w:val="003D2572"/>
    <w:rsid w:val="003D2B2E"/>
    <w:rsid w:val="003D30D9"/>
    <w:rsid w:val="003D7B8F"/>
    <w:rsid w:val="003E0327"/>
    <w:rsid w:val="003E05D1"/>
    <w:rsid w:val="003E08CE"/>
    <w:rsid w:val="003E1463"/>
    <w:rsid w:val="003E27B3"/>
    <w:rsid w:val="003F15E2"/>
    <w:rsid w:val="003F2313"/>
    <w:rsid w:val="003F2587"/>
    <w:rsid w:val="003F2B91"/>
    <w:rsid w:val="003F3A93"/>
    <w:rsid w:val="003F3E7D"/>
    <w:rsid w:val="003F6045"/>
    <w:rsid w:val="003F627F"/>
    <w:rsid w:val="003F67E6"/>
    <w:rsid w:val="0040174D"/>
    <w:rsid w:val="004074B7"/>
    <w:rsid w:val="00407936"/>
    <w:rsid w:val="00412898"/>
    <w:rsid w:val="00412C63"/>
    <w:rsid w:val="004174FF"/>
    <w:rsid w:val="00417E2C"/>
    <w:rsid w:val="0042363A"/>
    <w:rsid w:val="00423BFD"/>
    <w:rsid w:val="00430935"/>
    <w:rsid w:val="00437CCB"/>
    <w:rsid w:val="00440D83"/>
    <w:rsid w:val="004410F5"/>
    <w:rsid w:val="0044472B"/>
    <w:rsid w:val="00444E10"/>
    <w:rsid w:val="00445305"/>
    <w:rsid w:val="00447C31"/>
    <w:rsid w:val="0045657B"/>
    <w:rsid w:val="00456C38"/>
    <w:rsid w:val="00460711"/>
    <w:rsid w:val="004633EB"/>
    <w:rsid w:val="00472C82"/>
    <w:rsid w:val="00474FDF"/>
    <w:rsid w:val="00475F57"/>
    <w:rsid w:val="00483B2B"/>
    <w:rsid w:val="00485189"/>
    <w:rsid w:val="004871D6"/>
    <w:rsid w:val="00487214"/>
    <w:rsid w:val="00487FAB"/>
    <w:rsid w:val="00490261"/>
    <w:rsid w:val="00495D5F"/>
    <w:rsid w:val="0049634A"/>
    <w:rsid w:val="00496505"/>
    <w:rsid w:val="00496894"/>
    <w:rsid w:val="004A030A"/>
    <w:rsid w:val="004A253D"/>
    <w:rsid w:val="004A26E1"/>
    <w:rsid w:val="004A5EAB"/>
    <w:rsid w:val="004B6002"/>
    <w:rsid w:val="004C5563"/>
    <w:rsid w:val="004D0764"/>
    <w:rsid w:val="004D5871"/>
    <w:rsid w:val="004D6A6D"/>
    <w:rsid w:val="004E16FA"/>
    <w:rsid w:val="004E3A80"/>
    <w:rsid w:val="004E694D"/>
    <w:rsid w:val="004F0851"/>
    <w:rsid w:val="004F18B2"/>
    <w:rsid w:val="004F2173"/>
    <w:rsid w:val="004F2C77"/>
    <w:rsid w:val="004F4BC0"/>
    <w:rsid w:val="004F4E4B"/>
    <w:rsid w:val="004F7896"/>
    <w:rsid w:val="00500DEE"/>
    <w:rsid w:val="00504D1C"/>
    <w:rsid w:val="00510332"/>
    <w:rsid w:val="00510AC3"/>
    <w:rsid w:val="00512AC8"/>
    <w:rsid w:val="00513B18"/>
    <w:rsid w:val="00520A47"/>
    <w:rsid w:val="005226EC"/>
    <w:rsid w:val="0052467C"/>
    <w:rsid w:val="00526062"/>
    <w:rsid w:val="00526B4C"/>
    <w:rsid w:val="00531A23"/>
    <w:rsid w:val="00532025"/>
    <w:rsid w:val="00533A38"/>
    <w:rsid w:val="00534424"/>
    <w:rsid w:val="00540116"/>
    <w:rsid w:val="00544604"/>
    <w:rsid w:val="00547CD0"/>
    <w:rsid w:val="00550055"/>
    <w:rsid w:val="00550DA7"/>
    <w:rsid w:val="00550DD9"/>
    <w:rsid w:val="00552933"/>
    <w:rsid w:val="00556E83"/>
    <w:rsid w:val="00560B84"/>
    <w:rsid w:val="00564C4D"/>
    <w:rsid w:val="00566568"/>
    <w:rsid w:val="00570003"/>
    <w:rsid w:val="0057552D"/>
    <w:rsid w:val="0057677D"/>
    <w:rsid w:val="00577A47"/>
    <w:rsid w:val="00580576"/>
    <w:rsid w:val="00584591"/>
    <w:rsid w:val="00586A78"/>
    <w:rsid w:val="00586EA2"/>
    <w:rsid w:val="00590036"/>
    <w:rsid w:val="005919A5"/>
    <w:rsid w:val="00591ABE"/>
    <w:rsid w:val="005926A0"/>
    <w:rsid w:val="00593D27"/>
    <w:rsid w:val="00595A86"/>
    <w:rsid w:val="005A126F"/>
    <w:rsid w:val="005A1319"/>
    <w:rsid w:val="005A2246"/>
    <w:rsid w:val="005A2B18"/>
    <w:rsid w:val="005A325E"/>
    <w:rsid w:val="005A3A5B"/>
    <w:rsid w:val="005A616E"/>
    <w:rsid w:val="005A6CAA"/>
    <w:rsid w:val="005A7845"/>
    <w:rsid w:val="005B24DC"/>
    <w:rsid w:val="005B5323"/>
    <w:rsid w:val="005C0031"/>
    <w:rsid w:val="005C05C7"/>
    <w:rsid w:val="005C5BE4"/>
    <w:rsid w:val="005C64D2"/>
    <w:rsid w:val="005D57D7"/>
    <w:rsid w:val="005E1A52"/>
    <w:rsid w:val="005E48D7"/>
    <w:rsid w:val="005E724A"/>
    <w:rsid w:val="005E742D"/>
    <w:rsid w:val="005F15E2"/>
    <w:rsid w:val="005F36EA"/>
    <w:rsid w:val="005F5C53"/>
    <w:rsid w:val="005F5C7A"/>
    <w:rsid w:val="005F6D3E"/>
    <w:rsid w:val="0060032B"/>
    <w:rsid w:val="00600655"/>
    <w:rsid w:val="00601E09"/>
    <w:rsid w:val="00603CC6"/>
    <w:rsid w:val="0060632D"/>
    <w:rsid w:val="0061081B"/>
    <w:rsid w:val="00616A42"/>
    <w:rsid w:val="00620A62"/>
    <w:rsid w:val="00620F9A"/>
    <w:rsid w:val="00620FB9"/>
    <w:rsid w:val="00621EDF"/>
    <w:rsid w:val="0062604A"/>
    <w:rsid w:val="00631F92"/>
    <w:rsid w:val="00632AD3"/>
    <w:rsid w:val="00632F04"/>
    <w:rsid w:val="006338F3"/>
    <w:rsid w:val="0063545A"/>
    <w:rsid w:val="00640711"/>
    <w:rsid w:val="00641A02"/>
    <w:rsid w:val="00643609"/>
    <w:rsid w:val="00644527"/>
    <w:rsid w:val="00646082"/>
    <w:rsid w:val="00650650"/>
    <w:rsid w:val="006522CB"/>
    <w:rsid w:val="00655347"/>
    <w:rsid w:val="00655629"/>
    <w:rsid w:val="00660704"/>
    <w:rsid w:val="00660CA4"/>
    <w:rsid w:val="006649DC"/>
    <w:rsid w:val="006656B8"/>
    <w:rsid w:val="006670AF"/>
    <w:rsid w:val="0067318A"/>
    <w:rsid w:val="006759EE"/>
    <w:rsid w:val="00676B6E"/>
    <w:rsid w:val="006833BF"/>
    <w:rsid w:val="006833E2"/>
    <w:rsid w:val="00683ECE"/>
    <w:rsid w:val="0068631A"/>
    <w:rsid w:val="00693CEC"/>
    <w:rsid w:val="006A0AC8"/>
    <w:rsid w:val="006A3765"/>
    <w:rsid w:val="006A3A8D"/>
    <w:rsid w:val="006A6C19"/>
    <w:rsid w:val="006B00C9"/>
    <w:rsid w:val="006B3E16"/>
    <w:rsid w:val="006B5320"/>
    <w:rsid w:val="006B5EB7"/>
    <w:rsid w:val="006B5FF9"/>
    <w:rsid w:val="006B60C8"/>
    <w:rsid w:val="006B7F86"/>
    <w:rsid w:val="006D152F"/>
    <w:rsid w:val="006D233A"/>
    <w:rsid w:val="006D5360"/>
    <w:rsid w:val="006D5D2D"/>
    <w:rsid w:val="006D7D92"/>
    <w:rsid w:val="006E20C9"/>
    <w:rsid w:val="006E2AE7"/>
    <w:rsid w:val="006E3B61"/>
    <w:rsid w:val="006E57EE"/>
    <w:rsid w:val="006E6B26"/>
    <w:rsid w:val="006E7570"/>
    <w:rsid w:val="006E7FAA"/>
    <w:rsid w:val="006F1DC9"/>
    <w:rsid w:val="006F20DE"/>
    <w:rsid w:val="006F57E1"/>
    <w:rsid w:val="006F6556"/>
    <w:rsid w:val="007007BF"/>
    <w:rsid w:val="00700A7D"/>
    <w:rsid w:val="007056DB"/>
    <w:rsid w:val="0070679B"/>
    <w:rsid w:val="00707458"/>
    <w:rsid w:val="0070774F"/>
    <w:rsid w:val="007113DF"/>
    <w:rsid w:val="00711AAF"/>
    <w:rsid w:val="007171A4"/>
    <w:rsid w:val="0072175D"/>
    <w:rsid w:val="00721E51"/>
    <w:rsid w:val="00730308"/>
    <w:rsid w:val="00730EE7"/>
    <w:rsid w:val="007314D3"/>
    <w:rsid w:val="00732788"/>
    <w:rsid w:val="007339AC"/>
    <w:rsid w:val="007357C0"/>
    <w:rsid w:val="007369FB"/>
    <w:rsid w:val="00742B56"/>
    <w:rsid w:val="00745849"/>
    <w:rsid w:val="00746455"/>
    <w:rsid w:val="0074760C"/>
    <w:rsid w:val="007535A9"/>
    <w:rsid w:val="00754F72"/>
    <w:rsid w:val="00756AEE"/>
    <w:rsid w:val="00763568"/>
    <w:rsid w:val="007676D3"/>
    <w:rsid w:val="007719EE"/>
    <w:rsid w:val="00772D5A"/>
    <w:rsid w:val="00775CA2"/>
    <w:rsid w:val="007764B5"/>
    <w:rsid w:val="00777E76"/>
    <w:rsid w:val="007860FF"/>
    <w:rsid w:val="00786DDB"/>
    <w:rsid w:val="00794B9B"/>
    <w:rsid w:val="00795268"/>
    <w:rsid w:val="00795F94"/>
    <w:rsid w:val="00796591"/>
    <w:rsid w:val="007A1F56"/>
    <w:rsid w:val="007A75E5"/>
    <w:rsid w:val="007B0A8A"/>
    <w:rsid w:val="007B15B6"/>
    <w:rsid w:val="007B39E7"/>
    <w:rsid w:val="007B6733"/>
    <w:rsid w:val="007C0AA6"/>
    <w:rsid w:val="007C574F"/>
    <w:rsid w:val="007D04CC"/>
    <w:rsid w:val="007D1A3D"/>
    <w:rsid w:val="007D32D5"/>
    <w:rsid w:val="007D46F6"/>
    <w:rsid w:val="007D4F29"/>
    <w:rsid w:val="007E0A62"/>
    <w:rsid w:val="007E36F9"/>
    <w:rsid w:val="007E389E"/>
    <w:rsid w:val="007E396C"/>
    <w:rsid w:val="007E59A9"/>
    <w:rsid w:val="007E7433"/>
    <w:rsid w:val="007F0794"/>
    <w:rsid w:val="007F3367"/>
    <w:rsid w:val="007F3B86"/>
    <w:rsid w:val="007F5D7D"/>
    <w:rsid w:val="007F6135"/>
    <w:rsid w:val="007F6C73"/>
    <w:rsid w:val="0080265E"/>
    <w:rsid w:val="008041BF"/>
    <w:rsid w:val="00805E70"/>
    <w:rsid w:val="00806032"/>
    <w:rsid w:val="0081149D"/>
    <w:rsid w:val="008146FD"/>
    <w:rsid w:val="00815FC3"/>
    <w:rsid w:val="00817503"/>
    <w:rsid w:val="00820674"/>
    <w:rsid w:val="008214AD"/>
    <w:rsid w:val="00823460"/>
    <w:rsid w:val="00823D2C"/>
    <w:rsid w:val="00824224"/>
    <w:rsid w:val="00825FA4"/>
    <w:rsid w:val="00826F59"/>
    <w:rsid w:val="008273D6"/>
    <w:rsid w:val="00833E01"/>
    <w:rsid w:val="008363DA"/>
    <w:rsid w:val="00837492"/>
    <w:rsid w:val="00837A4F"/>
    <w:rsid w:val="00842441"/>
    <w:rsid w:val="00847614"/>
    <w:rsid w:val="00851E38"/>
    <w:rsid w:val="00852372"/>
    <w:rsid w:val="00854315"/>
    <w:rsid w:val="00855012"/>
    <w:rsid w:val="00855404"/>
    <w:rsid w:val="0085566A"/>
    <w:rsid w:val="008575DB"/>
    <w:rsid w:val="0086059D"/>
    <w:rsid w:val="008606C4"/>
    <w:rsid w:val="00865777"/>
    <w:rsid w:val="00865DC7"/>
    <w:rsid w:val="00866F91"/>
    <w:rsid w:val="008679CB"/>
    <w:rsid w:val="00867C5E"/>
    <w:rsid w:val="00867FEB"/>
    <w:rsid w:val="00871D82"/>
    <w:rsid w:val="00873A1E"/>
    <w:rsid w:val="0087516C"/>
    <w:rsid w:val="008763D9"/>
    <w:rsid w:val="0087668D"/>
    <w:rsid w:val="008766FD"/>
    <w:rsid w:val="00876906"/>
    <w:rsid w:val="00877B51"/>
    <w:rsid w:val="00880F01"/>
    <w:rsid w:val="0088758C"/>
    <w:rsid w:val="00893DAE"/>
    <w:rsid w:val="00897199"/>
    <w:rsid w:val="008A00EC"/>
    <w:rsid w:val="008A19EC"/>
    <w:rsid w:val="008A7510"/>
    <w:rsid w:val="008B0DCE"/>
    <w:rsid w:val="008B3E64"/>
    <w:rsid w:val="008C4E5E"/>
    <w:rsid w:val="008C76B9"/>
    <w:rsid w:val="008D096E"/>
    <w:rsid w:val="008D0971"/>
    <w:rsid w:val="008D18C3"/>
    <w:rsid w:val="008D3214"/>
    <w:rsid w:val="008D36EB"/>
    <w:rsid w:val="008D623F"/>
    <w:rsid w:val="008D63B6"/>
    <w:rsid w:val="008D6CDC"/>
    <w:rsid w:val="008E2040"/>
    <w:rsid w:val="008E240F"/>
    <w:rsid w:val="008E2678"/>
    <w:rsid w:val="008E284D"/>
    <w:rsid w:val="008E3807"/>
    <w:rsid w:val="008F1984"/>
    <w:rsid w:val="008F241B"/>
    <w:rsid w:val="008F3B88"/>
    <w:rsid w:val="008F4BE3"/>
    <w:rsid w:val="008F4F43"/>
    <w:rsid w:val="008F6979"/>
    <w:rsid w:val="0090189C"/>
    <w:rsid w:val="00902974"/>
    <w:rsid w:val="009054E6"/>
    <w:rsid w:val="00906C59"/>
    <w:rsid w:val="0090777A"/>
    <w:rsid w:val="00910722"/>
    <w:rsid w:val="00910A2E"/>
    <w:rsid w:val="00913499"/>
    <w:rsid w:val="00914617"/>
    <w:rsid w:val="009156BD"/>
    <w:rsid w:val="00915DE0"/>
    <w:rsid w:val="00916350"/>
    <w:rsid w:val="009163C6"/>
    <w:rsid w:val="00924D07"/>
    <w:rsid w:val="00925C60"/>
    <w:rsid w:val="00926BEB"/>
    <w:rsid w:val="00927A40"/>
    <w:rsid w:val="009305F1"/>
    <w:rsid w:val="0093182B"/>
    <w:rsid w:val="0093274A"/>
    <w:rsid w:val="00933EBE"/>
    <w:rsid w:val="00934D37"/>
    <w:rsid w:val="00935A05"/>
    <w:rsid w:val="009377C9"/>
    <w:rsid w:val="0094341C"/>
    <w:rsid w:val="00944959"/>
    <w:rsid w:val="009454D5"/>
    <w:rsid w:val="00945AC2"/>
    <w:rsid w:val="00945F9F"/>
    <w:rsid w:val="00946D3C"/>
    <w:rsid w:val="009472FB"/>
    <w:rsid w:val="00947C8F"/>
    <w:rsid w:val="00950B1C"/>
    <w:rsid w:val="00955F95"/>
    <w:rsid w:val="00957161"/>
    <w:rsid w:val="00957F8F"/>
    <w:rsid w:val="009633BE"/>
    <w:rsid w:val="0096399A"/>
    <w:rsid w:val="00964BC0"/>
    <w:rsid w:val="00966C7E"/>
    <w:rsid w:val="00970886"/>
    <w:rsid w:val="00970DC9"/>
    <w:rsid w:val="009711F7"/>
    <w:rsid w:val="0097134D"/>
    <w:rsid w:val="00972FC1"/>
    <w:rsid w:val="00974936"/>
    <w:rsid w:val="00975572"/>
    <w:rsid w:val="009772BD"/>
    <w:rsid w:val="00980103"/>
    <w:rsid w:val="00983FA6"/>
    <w:rsid w:val="00984229"/>
    <w:rsid w:val="00986F81"/>
    <w:rsid w:val="009871E8"/>
    <w:rsid w:val="009874F2"/>
    <w:rsid w:val="00993048"/>
    <w:rsid w:val="00993534"/>
    <w:rsid w:val="00993AAD"/>
    <w:rsid w:val="0099452F"/>
    <w:rsid w:val="00995FF2"/>
    <w:rsid w:val="00997994"/>
    <w:rsid w:val="009A559B"/>
    <w:rsid w:val="009B25C4"/>
    <w:rsid w:val="009B5049"/>
    <w:rsid w:val="009B5480"/>
    <w:rsid w:val="009C03BC"/>
    <w:rsid w:val="009C1271"/>
    <w:rsid w:val="009C39B6"/>
    <w:rsid w:val="009C44D1"/>
    <w:rsid w:val="009C5382"/>
    <w:rsid w:val="009C7169"/>
    <w:rsid w:val="009C7CE1"/>
    <w:rsid w:val="009D3834"/>
    <w:rsid w:val="009D4177"/>
    <w:rsid w:val="009D49E0"/>
    <w:rsid w:val="009D5162"/>
    <w:rsid w:val="009D5EF4"/>
    <w:rsid w:val="009D6A52"/>
    <w:rsid w:val="009D76B1"/>
    <w:rsid w:val="009D78DC"/>
    <w:rsid w:val="009E1665"/>
    <w:rsid w:val="009E241E"/>
    <w:rsid w:val="009E3B70"/>
    <w:rsid w:val="009E474F"/>
    <w:rsid w:val="009E4FD9"/>
    <w:rsid w:val="009E59EE"/>
    <w:rsid w:val="009F0CC0"/>
    <w:rsid w:val="009F1379"/>
    <w:rsid w:val="009F388A"/>
    <w:rsid w:val="009F4BA2"/>
    <w:rsid w:val="009F5ED0"/>
    <w:rsid w:val="009F6550"/>
    <w:rsid w:val="00A048DD"/>
    <w:rsid w:val="00A11F57"/>
    <w:rsid w:val="00A124A1"/>
    <w:rsid w:val="00A1301E"/>
    <w:rsid w:val="00A14850"/>
    <w:rsid w:val="00A156D3"/>
    <w:rsid w:val="00A16FBF"/>
    <w:rsid w:val="00A21E54"/>
    <w:rsid w:val="00A2323F"/>
    <w:rsid w:val="00A23E0F"/>
    <w:rsid w:val="00A26A35"/>
    <w:rsid w:val="00A30706"/>
    <w:rsid w:val="00A342BB"/>
    <w:rsid w:val="00A35439"/>
    <w:rsid w:val="00A3558D"/>
    <w:rsid w:val="00A37489"/>
    <w:rsid w:val="00A42E00"/>
    <w:rsid w:val="00A4614B"/>
    <w:rsid w:val="00A46826"/>
    <w:rsid w:val="00A50085"/>
    <w:rsid w:val="00A54316"/>
    <w:rsid w:val="00A554A0"/>
    <w:rsid w:val="00A57118"/>
    <w:rsid w:val="00A60B14"/>
    <w:rsid w:val="00A64267"/>
    <w:rsid w:val="00A649BA"/>
    <w:rsid w:val="00A676B7"/>
    <w:rsid w:val="00A74316"/>
    <w:rsid w:val="00A75259"/>
    <w:rsid w:val="00A75C12"/>
    <w:rsid w:val="00A76AC2"/>
    <w:rsid w:val="00A85BB3"/>
    <w:rsid w:val="00A91B0D"/>
    <w:rsid w:val="00A91FBA"/>
    <w:rsid w:val="00A95A0A"/>
    <w:rsid w:val="00AA269F"/>
    <w:rsid w:val="00AA5DEB"/>
    <w:rsid w:val="00AA5EA6"/>
    <w:rsid w:val="00AB4A57"/>
    <w:rsid w:val="00AC018A"/>
    <w:rsid w:val="00AC02AE"/>
    <w:rsid w:val="00AC2188"/>
    <w:rsid w:val="00AC2552"/>
    <w:rsid w:val="00AC32B4"/>
    <w:rsid w:val="00AC339B"/>
    <w:rsid w:val="00AC4DC1"/>
    <w:rsid w:val="00AC5820"/>
    <w:rsid w:val="00AD19CD"/>
    <w:rsid w:val="00AD291C"/>
    <w:rsid w:val="00AD38F6"/>
    <w:rsid w:val="00AD3C49"/>
    <w:rsid w:val="00AD5DAF"/>
    <w:rsid w:val="00AD6993"/>
    <w:rsid w:val="00AE465C"/>
    <w:rsid w:val="00AE64C2"/>
    <w:rsid w:val="00AE6735"/>
    <w:rsid w:val="00AF332A"/>
    <w:rsid w:val="00AF45A8"/>
    <w:rsid w:val="00AF45D7"/>
    <w:rsid w:val="00AF77E2"/>
    <w:rsid w:val="00B05242"/>
    <w:rsid w:val="00B14327"/>
    <w:rsid w:val="00B14537"/>
    <w:rsid w:val="00B15238"/>
    <w:rsid w:val="00B15B72"/>
    <w:rsid w:val="00B165FF"/>
    <w:rsid w:val="00B242BD"/>
    <w:rsid w:val="00B25A10"/>
    <w:rsid w:val="00B260B7"/>
    <w:rsid w:val="00B26103"/>
    <w:rsid w:val="00B26AA7"/>
    <w:rsid w:val="00B3214C"/>
    <w:rsid w:val="00B33EA3"/>
    <w:rsid w:val="00B34ECE"/>
    <w:rsid w:val="00B3519E"/>
    <w:rsid w:val="00B37C79"/>
    <w:rsid w:val="00B41AE4"/>
    <w:rsid w:val="00B44509"/>
    <w:rsid w:val="00B461BE"/>
    <w:rsid w:val="00B46348"/>
    <w:rsid w:val="00B50597"/>
    <w:rsid w:val="00B50CF7"/>
    <w:rsid w:val="00B51501"/>
    <w:rsid w:val="00B53757"/>
    <w:rsid w:val="00B54217"/>
    <w:rsid w:val="00B55BA9"/>
    <w:rsid w:val="00B56F34"/>
    <w:rsid w:val="00B62385"/>
    <w:rsid w:val="00B6409B"/>
    <w:rsid w:val="00B65C52"/>
    <w:rsid w:val="00B65ED6"/>
    <w:rsid w:val="00B663D5"/>
    <w:rsid w:val="00B6787F"/>
    <w:rsid w:val="00B7185A"/>
    <w:rsid w:val="00B73C2C"/>
    <w:rsid w:val="00B74340"/>
    <w:rsid w:val="00B77501"/>
    <w:rsid w:val="00B8032D"/>
    <w:rsid w:val="00B824AE"/>
    <w:rsid w:val="00B850C5"/>
    <w:rsid w:val="00B87599"/>
    <w:rsid w:val="00B87E65"/>
    <w:rsid w:val="00B87F1F"/>
    <w:rsid w:val="00B93248"/>
    <w:rsid w:val="00B97E21"/>
    <w:rsid w:val="00BA026E"/>
    <w:rsid w:val="00BA0753"/>
    <w:rsid w:val="00BA0F22"/>
    <w:rsid w:val="00BA1B33"/>
    <w:rsid w:val="00BA6AF5"/>
    <w:rsid w:val="00BB01D1"/>
    <w:rsid w:val="00BB6EB6"/>
    <w:rsid w:val="00BC0E50"/>
    <w:rsid w:val="00BC5AD9"/>
    <w:rsid w:val="00BD0841"/>
    <w:rsid w:val="00BD4B3C"/>
    <w:rsid w:val="00BD57F0"/>
    <w:rsid w:val="00BD5F7C"/>
    <w:rsid w:val="00BE10FA"/>
    <w:rsid w:val="00BE1A23"/>
    <w:rsid w:val="00BE1EAF"/>
    <w:rsid w:val="00BF2686"/>
    <w:rsid w:val="00BF53C6"/>
    <w:rsid w:val="00BF57A1"/>
    <w:rsid w:val="00C041CF"/>
    <w:rsid w:val="00C043F8"/>
    <w:rsid w:val="00C05144"/>
    <w:rsid w:val="00C11154"/>
    <w:rsid w:val="00C130C5"/>
    <w:rsid w:val="00C25B3D"/>
    <w:rsid w:val="00C33087"/>
    <w:rsid w:val="00C334CA"/>
    <w:rsid w:val="00C35225"/>
    <w:rsid w:val="00C3738E"/>
    <w:rsid w:val="00C433AA"/>
    <w:rsid w:val="00C43531"/>
    <w:rsid w:val="00C436D5"/>
    <w:rsid w:val="00C476BF"/>
    <w:rsid w:val="00C529F9"/>
    <w:rsid w:val="00C55903"/>
    <w:rsid w:val="00C60324"/>
    <w:rsid w:val="00C60573"/>
    <w:rsid w:val="00C606F1"/>
    <w:rsid w:val="00C6139D"/>
    <w:rsid w:val="00C61A9E"/>
    <w:rsid w:val="00C61D57"/>
    <w:rsid w:val="00C64E73"/>
    <w:rsid w:val="00C65467"/>
    <w:rsid w:val="00C75720"/>
    <w:rsid w:val="00C75A08"/>
    <w:rsid w:val="00C75E5A"/>
    <w:rsid w:val="00C775DB"/>
    <w:rsid w:val="00C80BA2"/>
    <w:rsid w:val="00C82B26"/>
    <w:rsid w:val="00C83100"/>
    <w:rsid w:val="00C84B69"/>
    <w:rsid w:val="00C84D2E"/>
    <w:rsid w:val="00C85CB5"/>
    <w:rsid w:val="00C86BC0"/>
    <w:rsid w:val="00C90B0B"/>
    <w:rsid w:val="00C90EC8"/>
    <w:rsid w:val="00C91C52"/>
    <w:rsid w:val="00C94213"/>
    <w:rsid w:val="00C96AE0"/>
    <w:rsid w:val="00CA341E"/>
    <w:rsid w:val="00CA42B5"/>
    <w:rsid w:val="00CA6599"/>
    <w:rsid w:val="00CA713F"/>
    <w:rsid w:val="00CA7177"/>
    <w:rsid w:val="00CB1A46"/>
    <w:rsid w:val="00CB2E68"/>
    <w:rsid w:val="00CB5F23"/>
    <w:rsid w:val="00CB65B5"/>
    <w:rsid w:val="00CC33B8"/>
    <w:rsid w:val="00CC39F7"/>
    <w:rsid w:val="00CC6FA3"/>
    <w:rsid w:val="00CD7F6C"/>
    <w:rsid w:val="00CE0D6F"/>
    <w:rsid w:val="00CE28C3"/>
    <w:rsid w:val="00CE4914"/>
    <w:rsid w:val="00CE532E"/>
    <w:rsid w:val="00CE638A"/>
    <w:rsid w:val="00CE6793"/>
    <w:rsid w:val="00CF08D1"/>
    <w:rsid w:val="00CF51D6"/>
    <w:rsid w:val="00CF552D"/>
    <w:rsid w:val="00CF652A"/>
    <w:rsid w:val="00D01E02"/>
    <w:rsid w:val="00D02909"/>
    <w:rsid w:val="00D03927"/>
    <w:rsid w:val="00D0759F"/>
    <w:rsid w:val="00D22FAA"/>
    <w:rsid w:val="00D242E1"/>
    <w:rsid w:val="00D2437F"/>
    <w:rsid w:val="00D24AD4"/>
    <w:rsid w:val="00D2546A"/>
    <w:rsid w:val="00D2554F"/>
    <w:rsid w:val="00D26534"/>
    <w:rsid w:val="00D30EEA"/>
    <w:rsid w:val="00D32BE1"/>
    <w:rsid w:val="00D3503C"/>
    <w:rsid w:val="00D37D32"/>
    <w:rsid w:val="00D40CB4"/>
    <w:rsid w:val="00D41AAC"/>
    <w:rsid w:val="00D4569D"/>
    <w:rsid w:val="00D45DA3"/>
    <w:rsid w:val="00D462F3"/>
    <w:rsid w:val="00D47D96"/>
    <w:rsid w:val="00D529BE"/>
    <w:rsid w:val="00D53F85"/>
    <w:rsid w:val="00D55E7E"/>
    <w:rsid w:val="00D61802"/>
    <w:rsid w:val="00D67603"/>
    <w:rsid w:val="00D7327A"/>
    <w:rsid w:val="00D73EB8"/>
    <w:rsid w:val="00D80882"/>
    <w:rsid w:val="00D82193"/>
    <w:rsid w:val="00D85925"/>
    <w:rsid w:val="00D86E16"/>
    <w:rsid w:val="00D87C5A"/>
    <w:rsid w:val="00D93364"/>
    <w:rsid w:val="00D93593"/>
    <w:rsid w:val="00D94237"/>
    <w:rsid w:val="00DA335A"/>
    <w:rsid w:val="00DA3EAE"/>
    <w:rsid w:val="00DA6EA0"/>
    <w:rsid w:val="00DB0853"/>
    <w:rsid w:val="00DB1678"/>
    <w:rsid w:val="00DB1E67"/>
    <w:rsid w:val="00DB26F8"/>
    <w:rsid w:val="00DB2EE5"/>
    <w:rsid w:val="00DB60B9"/>
    <w:rsid w:val="00DB7067"/>
    <w:rsid w:val="00DC09D0"/>
    <w:rsid w:val="00DC09DC"/>
    <w:rsid w:val="00DC0C57"/>
    <w:rsid w:val="00DC3671"/>
    <w:rsid w:val="00DC588A"/>
    <w:rsid w:val="00DD0237"/>
    <w:rsid w:val="00DD14A6"/>
    <w:rsid w:val="00DD2559"/>
    <w:rsid w:val="00DD304D"/>
    <w:rsid w:val="00DD4C66"/>
    <w:rsid w:val="00DE040C"/>
    <w:rsid w:val="00DE06BC"/>
    <w:rsid w:val="00DE5884"/>
    <w:rsid w:val="00DF03D6"/>
    <w:rsid w:val="00DF0E26"/>
    <w:rsid w:val="00DF6857"/>
    <w:rsid w:val="00E02CC4"/>
    <w:rsid w:val="00E068C6"/>
    <w:rsid w:val="00E07825"/>
    <w:rsid w:val="00E07E0B"/>
    <w:rsid w:val="00E139B3"/>
    <w:rsid w:val="00E14147"/>
    <w:rsid w:val="00E1541E"/>
    <w:rsid w:val="00E1554B"/>
    <w:rsid w:val="00E15DA9"/>
    <w:rsid w:val="00E169DE"/>
    <w:rsid w:val="00E20797"/>
    <w:rsid w:val="00E21666"/>
    <w:rsid w:val="00E2585D"/>
    <w:rsid w:val="00E25A50"/>
    <w:rsid w:val="00E27988"/>
    <w:rsid w:val="00E27B18"/>
    <w:rsid w:val="00E315E1"/>
    <w:rsid w:val="00E33945"/>
    <w:rsid w:val="00E3470F"/>
    <w:rsid w:val="00E35260"/>
    <w:rsid w:val="00E37B3E"/>
    <w:rsid w:val="00E40FC3"/>
    <w:rsid w:val="00E41A5A"/>
    <w:rsid w:val="00E42046"/>
    <w:rsid w:val="00E42FB9"/>
    <w:rsid w:val="00E5022B"/>
    <w:rsid w:val="00E532FA"/>
    <w:rsid w:val="00E53987"/>
    <w:rsid w:val="00E60E6F"/>
    <w:rsid w:val="00E63251"/>
    <w:rsid w:val="00E70842"/>
    <w:rsid w:val="00E70BFB"/>
    <w:rsid w:val="00E70E7B"/>
    <w:rsid w:val="00E7116A"/>
    <w:rsid w:val="00E75AF6"/>
    <w:rsid w:val="00E76425"/>
    <w:rsid w:val="00E77579"/>
    <w:rsid w:val="00E80D57"/>
    <w:rsid w:val="00E83807"/>
    <w:rsid w:val="00E879CF"/>
    <w:rsid w:val="00E87D7E"/>
    <w:rsid w:val="00E87F32"/>
    <w:rsid w:val="00E903BC"/>
    <w:rsid w:val="00E9147F"/>
    <w:rsid w:val="00E95013"/>
    <w:rsid w:val="00E96B36"/>
    <w:rsid w:val="00E97E7C"/>
    <w:rsid w:val="00EB098E"/>
    <w:rsid w:val="00EB2B21"/>
    <w:rsid w:val="00EC1045"/>
    <w:rsid w:val="00EC1B71"/>
    <w:rsid w:val="00EC1E6C"/>
    <w:rsid w:val="00EC2FE1"/>
    <w:rsid w:val="00EC3CA9"/>
    <w:rsid w:val="00EC4985"/>
    <w:rsid w:val="00EC51D1"/>
    <w:rsid w:val="00EC5CF3"/>
    <w:rsid w:val="00EC61BA"/>
    <w:rsid w:val="00ED1376"/>
    <w:rsid w:val="00ED1406"/>
    <w:rsid w:val="00ED394F"/>
    <w:rsid w:val="00ED4B72"/>
    <w:rsid w:val="00ED4DBE"/>
    <w:rsid w:val="00ED6865"/>
    <w:rsid w:val="00EE252E"/>
    <w:rsid w:val="00EE27B5"/>
    <w:rsid w:val="00EE2A9A"/>
    <w:rsid w:val="00EE32F9"/>
    <w:rsid w:val="00EE4CB7"/>
    <w:rsid w:val="00EE4FF6"/>
    <w:rsid w:val="00EE564D"/>
    <w:rsid w:val="00EE7C49"/>
    <w:rsid w:val="00EE7EDF"/>
    <w:rsid w:val="00EF0633"/>
    <w:rsid w:val="00EF42FA"/>
    <w:rsid w:val="00EF4AAA"/>
    <w:rsid w:val="00EF586A"/>
    <w:rsid w:val="00EF6335"/>
    <w:rsid w:val="00EF6D85"/>
    <w:rsid w:val="00F00A89"/>
    <w:rsid w:val="00F02563"/>
    <w:rsid w:val="00F02A3C"/>
    <w:rsid w:val="00F066E2"/>
    <w:rsid w:val="00F11E1A"/>
    <w:rsid w:val="00F13DFB"/>
    <w:rsid w:val="00F15FC2"/>
    <w:rsid w:val="00F22765"/>
    <w:rsid w:val="00F242A8"/>
    <w:rsid w:val="00F3385C"/>
    <w:rsid w:val="00F347A9"/>
    <w:rsid w:val="00F34C1C"/>
    <w:rsid w:val="00F370F3"/>
    <w:rsid w:val="00F376B7"/>
    <w:rsid w:val="00F42145"/>
    <w:rsid w:val="00F44AD5"/>
    <w:rsid w:val="00F45AC0"/>
    <w:rsid w:val="00F4673A"/>
    <w:rsid w:val="00F46C33"/>
    <w:rsid w:val="00F504E8"/>
    <w:rsid w:val="00F50C87"/>
    <w:rsid w:val="00F51E1A"/>
    <w:rsid w:val="00F52504"/>
    <w:rsid w:val="00F5740C"/>
    <w:rsid w:val="00F60640"/>
    <w:rsid w:val="00F62419"/>
    <w:rsid w:val="00F64569"/>
    <w:rsid w:val="00F65AE2"/>
    <w:rsid w:val="00F67D37"/>
    <w:rsid w:val="00F7333B"/>
    <w:rsid w:val="00F73C0B"/>
    <w:rsid w:val="00F770EC"/>
    <w:rsid w:val="00F82B64"/>
    <w:rsid w:val="00F82BD1"/>
    <w:rsid w:val="00F845F3"/>
    <w:rsid w:val="00F848BE"/>
    <w:rsid w:val="00F90D51"/>
    <w:rsid w:val="00F91BBB"/>
    <w:rsid w:val="00F91EBB"/>
    <w:rsid w:val="00F94426"/>
    <w:rsid w:val="00F94623"/>
    <w:rsid w:val="00FA1BFD"/>
    <w:rsid w:val="00FA2202"/>
    <w:rsid w:val="00FA4159"/>
    <w:rsid w:val="00FA44D5"/>
    <w:rsid w:val="00FA4F7C"/>
    <w:rsid w:val="00FA672A"/>
    <w:rsid w:val="00FA6E44"/>
    <w:rsid w:val="00FB01C4"/>
    <w:rsid w:val="00FB036F"/>
    <w:rsid w:val="00FB0E88"/>
    <w:rsid w:val="00FB3005"/>
    <w:rsid w:val="00FB68BD"/>
    <w:rsid w:val="00FB6D79"/>
    <w:rsid w:val="00FB72E5"/>
    <w:rsid w:val="00FC047E"/>
    <w:rsid w:val="00FC170C"/>
    <w:rsid w:val="00FC1D39"/>
    <w:rsid w:val="00FC460A"/>
    <w:rsid w:val="00FC4E20"/>
    <w:rsid w:val="00FD1021"/>
    <w:rsid w:val="00FD1E04"/>
    <w:rsid w:val="00FD375F"/>
    <w:rsid w:val="00FD43B9"/>
    <w:rsid w:val="00FD4C6B"/>
    <w:rsid w:val="00FD4D48"/>
    <w:rsid w:val="00FD75A3"/>
    <w:rsid w:val="00FE09D2"/>
    <w:rsid w:val="00FE18D7"/>
    <w:rsid w:val="00FE1ADD"/>
    <w:rsid w:val="00FE28CA"/>
    <w:rsid w:val="00FE3700"/>
    <w:rsid w:val="00FE3AC6"/>
    <w:rsid w:val="00FE6898"/>
    <w:rsid w:val="00FF0E8D"/>
    <w:rsid w:val="00FF17E8"/>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6C49961"/>
  <w15:docId w15:val="{F2335DD0-73A3-4E2D-BA63-1D7C020B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rsid w:val="00FB68BD"/>
    <w:pPr>
      <w:tabs>
        <w:tab w:val="center" w:pos="4153"/>
        <w:tab w:val="right" w:pos="8306"/>
      </w:tabs>
    </w:pPr>
  </w:style>
  <w:style w:type="character" w:customStyle="1" w:styleId="HeaderChar">
    <w:name w:val="Header Char"/>
    <w:link w:val="Header"/>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FB68BD"/>
    <w:pPr>
      <w:spacing w:after="120"/>
    </w:pPr>
  </w:style>
  <w:style w:type="character" w:customStyle="1" w:styleId="BodyTextChar">
    <w:name w:val="Body Text Char"/>
    <w:link w:val="BodyText"/>
    <w:uiPriority w:val="99"/>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
    <w:name w:val="Saraksta rindkopa"/>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1">
    <w:name w:val="Char1"/>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link w:val="NoSpacingChar"/>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rsid w:val="00E53987"/>
    <w:rPr>
      <w:sz w:val="20"/>
      <w:szCs w:val="20"/>
    </w:rPr>
  </w:style>
  <w:style w:type="character" w:customStyle="1" w:styleId="FootnoteTextChar">
    <w:name w:val="Footnote Text Char"/>
    <w:link w:val="FootnoteText"/>
    <w:rsid w:val="00E53987"/>
    <w:rPr>
      <w:rFonts w:ascii="Times New Roman" w:eastAsia="Times New Roman" w:hAnsi="Times New Roman" w:cs="Times New Roman"/>
      <w:sz w:val="20"/>
      <w:szCs w:val="20"/>
      <w:lang w:eastAsia="lv-LV"/>
    </w:rPr>
  </w:style>
  <w:style w:type="character" w:styleId="FootnoteReference">
    <w:name w:val="footnote reference"/>
    <w:uiPriority w:val="99"/>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character" w:customStyle="1" w:styleId="ListParagraphChar">
    <w:name w:val="List Paragraph Char"/>
    <w:link w:val="ListParagraph"/>
    <w:uiPriority w:val="34"/>
    <w:rsid w:val="002D4B24"/>
    <w:rPr>
      <w:sz w:val="22"/>
      <w:szCs w:val="22"/>
      <w:lang w:eastAsia="en-US"/>
    </w:rPr>
  </w:style>
  <w:style w:type="paragraph" w:customStyle="1" w:styleId="naislab">
    <w:name w:val="naislab"/>
    <w:basedOn w:val="Normal"/>
    <w:uiPriority w:val="99"/>
    <w:rsid w:val="002D4B24"/>
    <w:pPr>
      <w:spacing w:before="75" w:after="75"/>
      <w:jc w:val="right"/>
    </w:pPr>
  </w:style>
  <w:style w:type="paragraph" w:customStyle="1" w:styleId="tv213">
    <w:name w:val="tv213"/>
    <w:basedOn w:val="Normal"/>
    <w:rsid w:val="008D63B6"/>
    <w:pPr>
      <w:spacing w:before="100" w:beforeAutospacing="1" w:after="100" w:afterAutospacing="1"/>
    </w:pPr>
  </w:style>
  <w:style w:type="paragraph" w:customStyle="1" w:styleId="Default">
    <w:name w:val="Default"/>
    <w:rsid w:val="0035556B"/>
    <w:pPr>
      <w:autoSpaceDE w:val="0"/>
      <w:autoSpaceDN w:val="0"/>
      <w:adjustRightInd w:val="0"/>
    </w:pPr>
    <w:rPr>
      <w:rFonts w:ascii="Times New Roman" w:eastAsia="Times New Roman" w:hAnsi="Times New Roman"/>
      <w:color w:val="000000"/>
      <w:sz w:val="24"/>
      <w:szCs w:val="24"/>
    </w:rPr>
  </w:style>
  <w:style w:type="character" w:customStyle="1" w:styleId="NoSpacingChar">
    <w:name w:val="No Spacing Char"/>
    <w:basedOn w:val="DefaultParagraphFont"/>
    <w:link w:val="NoSpacing"/>
    <w:uiPriority w:val="1"/>
    <w:rsid w:val="00E60E6F"/>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DF03D6"/>
    <w:rPr>
      <w:sz w:val="20"/>
      <w:szCs w:val="20"/>
    </w:rPr>
  </w:style>
  <w:style w:type="character" w:customStyle="1" w:styleId="CommentTextChar">
    <w:name w:val="Comment Text Char"/>
    <w:basedOn w:val="DefaultParagraphFont"/>
    <w:link w:val="CommentText"/>
    <w:uiPriority w:val="99"/>
    <w:semiHidden/>
    <w:rsid w:val="00DF03D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F03D6"/>
    <w:rPr>
      <w:b/>
      <w:bCs/>
    </w:rPr>
  </w:style>
  <w:style w:type="character" w:customStyle="1" w:styleId="CommentSubjectChar">
    <w:name w:val="Comment Subject Char"/>
    <w:basedOn w:val="CommentTextChar"/>
    <w:link w:val="CommentSubject"/>
    <w:uiPriority w:val="99"/>
    <w:semiHidden/>
    <w:rsid w:val="00DF03D6"/>
    <w:rPr>
      <w:rFonts w:ascii="Times New Roman" w:eastAsia="Times New Roman" w:hAnsi="Times New Roman"/>
      <w:b/>
      <w:bCs/>
    </w:rPr>
  </w:style>
  <w:style w:type="paragraph" w:styleId="PlainText">
    <w:name w:val="Plain Text"/>
    <w:basedOn w:val="Normal"/>
    <w:link w:val="PlainTextChar"/>
    <w:uiPriority w:val="99"/>
    <w:unhideWhenUsed/>
    <w:rsid w:val="008214A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214A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561">
      <w:bodyDiv w:val="1"/>
      <w:marLeft w:val="0"/>
      <w:marRight w:val="0"/>
      <w:marTop w:val="0"/>
      <w:marBottom w:val="0"/>
      <w:divBdr>
        <w:top w:val="none" w:sz="0" w:space="0" w:color="auto"/>
        <w:left w:val="none" w:sz="0" w:space="0" w:color="auto"/>
        <w:bottom w:val="none" w:sz="0" w:space="0" w:color="auto"/>
        <w:right w:val="none" w:sz="0" w:space="0" w:color="auto"/>
      </w:divBdr>
      <w:divsChild>
        <w:div w:id="1171025814">
          <w:marLeft w:val="0"/>
          <w:marRight w:val="0"/>
          <w:marTop w:val="0"/>
          <w:marBottom w:val="0"/>
          <w:divBdr>
            <w:top w:val="none" w:sz="0" w:space="0" w:color="auto"/>
            <w:left w:val="none" w:sz="0" w:space="0" w:color="auto"/>
            <w:bottom w:val="none" w:sz="0" w:space="0" w:color="auto"/>
            <w:right w:val="none" w:sz="0" w:space="0" w:color="auto"/>
          </w:divBdr>
        </w:div>
        <w:div w:id="1890529652">
          <w:marLeft w:val="0"/>
          <w:marRight w:val="0"/>
          <w:marTop w:val="0"/>
          <w:marBottom w:val="0"/>
          <w:divBdr>
            <w:top w:val="none" w:sz="0" w:space="0" w:color="auto"/>
            <w:left w:val="none" w:sz="0" w:space="0" w:color="auto"/>
            <w:bottom w:val="none" w:sz="0" w:space="0" w:color="auto"/>
            <w:right w:val="none" w:sz="0" w:space="0" w:color="auto"/>
          </w:divBdr>
        </w:div>
      </w:divsChild>
    </w:div>
    <w:div w:id="56131330">
      <w:bodyDiv w:val="1"/>
      <w:marLeft w:val="0"/>
      <w:marRight w:val="0"/>
      <w:marTop w:val="0"/>
      <w:marBottom w:val="0"/>
      <w:divBdr>
        <w:top w:val="none" w:sz="0" w:space="0" w:color="auto"/>
        <w:left w:val="none" w:sz="0" w:space="0" w:color="auto"/>
        <w:bottom w:val="none" w:sz="0" w:space="0" w:color="auto"/>
        <w:right w:val="none" w:sz="0" w:space="0" w:color="auto"/>
      </w:divBdr>
    </w:div>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0741249">
      <w:bodyDiv w:val="1"/>
      <w:marLeft w:val="0"/>
      <w:marRight w:val="0"/>
      <w:marTop w:val="0"/>
      <w:marBottom w:val="0"/>
      <w:divBdr>
        <w:top w:val="none" w:sz="0" w:space="0" w:color="auto"/>
        <w:left w:val="none" w:sz="0" w:space="0" w:color="auto"/>
        <w:bottom w:val="none" w:sz="0" w:space="0" w:color="auto"/>
        <w:right w:val="none" w:sz="0" w:space="0" w:color="auto"/>
      </w:divBdr>
    </w:div>
    <w:div w:id="845943928">
      <w:bodyDiv w:val="1"/>
      <w:marLeft w:val="0"/>
      <w:marRight w:val="0"/>
      <w:marTop w:val="0"/>
      <w:marBottom w:val="0"/>
      <w:divBdr>
        <w:top w:val="none" w:sz="0" w:space="0" w:color="auto"/>
        <w:left w:val="none" w:sz="0" w:space="0" w:color="auto"/>
        <w:bottom w:val="none" w:sz="0" w:space="0" w:color="auto"/>
        <w:right w:val="none" w:sz="0" w:space="0" w:color="auto"/>
      </w:divBdr>
    </w:div>
    <w:div w:id="865408983">
      <w:bodyDiv w:val="1"/>
      <w:marLeft w:val="0"/>
      <w:marRight w:val="0"/>
      <w:marTop w:val="0"/>
      <w:marBottom w:val="0"/>
      <w:divBdr>
        <w:top w:val="none" w:sz="0" w:space="0" w:color="auto"/>
        <w:left w:val="none" w:sz="0" w:space="0" w:color="auto"/>
        <w:bottom w:val="none" w:sz="0" w:space="0" w:color="auto"/>
        <w:right w:val="none" w:sz="0" w:space="0" w:color="auto"/>
      </w:divBdr>
      <w:divsChild>
        <w:div w:id="949774138">
          <w:marLeft w:val="0"/>
          <w:marRight w:val="0"/>
          <w:marTop w:val="0"/>
          <w:marBottom w:val="0"/>
          <w:divBdr>
            <w:top w:val="none" w:sz="0" w:space="0" w:color="auto"/>
            <w:left w:val="none" w:sz="0" w:space="0" w:color="auto"/>
            <w:bottom w:val="none" w:sz="0" w:space="0" w:color="auto"/>
            <w:right w:val="none" w:sz="0" w:space="0" w:color="auto"/>
          </w:divBdr>
        </w:div>
        <w:div w:id="1941596909">
          <w:marLeft w:val="0"/>
          <w:marRight w:val="0"/>
          <w:marTop w:val="0"/>
          <w:marBottom w:val="0"/>
          <w:divBdr>
            <w:top w:val="none" w:sz="0" w:space="0" w:color="auto"/>
            <w:left w:val="none" w:sz="0" w:space="0" w:color="auto"/>
            <w:bottom w:val="none" w:sz="0" w:space="0" w:color="auto"/>
            <w:right w:val="none" w:sz="0" w:space="0" w:color="auto"/>
          </w:divBdr>
        </w:div>
      </w:divsChild>
    </w:div>
    <w:div w:id="1104494818">
      <w:bodyDiv w:val="1"/>
      <w:marLeft w:val="0"/>
      <w:marRight w:val="0"/>
      <w:marTop w:val="0"/>
      <w:marBottom w:val="0"/>
      <w:divBdr>
        <w:top w:val="none" w:sz="0" w:space="0" w:color="auto"/>
        <w:left w:val="none" w:sz="0" w:space="0" w:color="auto"/>
        <w:bottom w:val="none" w:sz="0" w:space="0" w:color="auto"/>
        <w:right w:val="none" w:sz="0" w:space="0" w:color="auto"/>
      </w:divBdr>
    </w:div>
    <w:div w:id="1204321908">
      <w:bodyDiv w:val="1"/>
      <w:marLeft w:val="0"/>
      <w:marRight w:val="0"/>
      <w:marTop w:val="0"/>
      <w:marBottom w:val="0"/>
      <w:divBdr>
        <w:top w:val="none" w:sz="0" w:space="0" w:color="auto"/>
        <w:left w:val="none" w:sz="0" w:space="0" w:color="auto"/>
        <w:bottom w:val="none" w:sz="0" w:space="0" w:color="auto"/>
        <w:right w:val="none" w:sz="0" w:space="0" w:color="auto"/>
      </w:divBdr>
      <w:divsChild>
        <w:div w:id="64498530">
          <w:marLeft w:val="0"/>
          <w:marRight w:val="0"/>
          <w:marTop w:val="0"/>
          <w:marBottom w:val="0"/>
          <w:divBdr>
            <w:top w:val="none" w:sz="0" w:space="0" w:color="auto"/>
            <w:left w:val="none" w:sz="0" w:space="0" w:color="auto"/>
            <w:bottom w:val="none" w:sz="0" w:space="0" w:color="auto"/>
            <w:right w:val="none" w:sz="0" w:space="0" w:color="auto"/>
          </w:divBdr>
        </w:div>
        <w:div w:id="1794712213">
          <w:marLeft w:val="0"/>
          <w:marRight w:val="0"/>
          <w:marTop w:val="0"/>
          <w:marBottom w:val="0"/>
          <w:divBdr>
            <w:top w:val="none" w:sz="0" w:space="0" w:color="auto"/>
            <w:left w:val="none" w:sz="0" w:space="0" w:color="auto"/>
            <w:bottom w:val="none" w:sz="0" w:space="0" w:color="auto"/>
            <w:right w:val="none" w:sz="0" w:space="0" w:color="auto"/>
          </w:divBdr>
        </w:div>
      </w:divsChild>
    </w:div>
    <w:div w:id="1209075579">
      <w:bodyDiv w:val="1"/>
      <w:marLeft w:val="0"/>
      <w:marRight w:val="0"/>
      <w:marTop w:val="0"/>
      <w:marBottom w:val="0"/>
      <w:divBdr>
        <w:top w:val="none" w:sz="0" w:space="0" w:color="auto"/>
        <w:left w:val="none" w:sz="0" w:space="0" w:color="auto"/>
        <w:bottom w:val="none" w:sz="0" w:space="0" w:color="auto"/>
        <w:right w:val="none" w:sz="0" w:space="0" w:color="auto"/>
      </w:divBdr>
      <w:divsChild>
        <w:div w:id="1343774729">
          <w:marLeft w:val="0"/>
          <w:marRight w:val="0"/>
          <w:marTop w:val="0"/>
          <w:marBottom w:val="0"/>
          <w:divBdr>
            <w:top w:val="none" w:sz="0" w:space="0" w:color="auto"/>
            <w:left w:val="none" w:sz="0" w:space="0" w:color="auto"/>
            <w:bottom w:val="none" w:sz="0" w:space="0" w:color="auto"/>
            <w:right w:val="none" w:sz="0" w:space="0" w:color="auto"/>
          </w:divBdr>
        </w:div>
        <w:div w:id="173646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lauder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BFFE-4E78-4D55-B34E-2D1F551E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27</Pages>
  <Words>25447</Words>
  <Characters>14506</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IEMIzz_280211_Turk; Izziņa par atzinumos sniegtajiem iebildumiem par likumprojektu „Par Latvijas Republikas valdības un Turkmenistānas valdības līgumu par sadarbību cīņā pret terorismu, organizēto noziedzību un nelegālu narkotisko vielu, psihotropo vielu</vt:lpstr>
    </vt:vector>
  </TitlesOfParts>
  <Company>IEM</Company>
  <LinksUpToDate>false</LinksUpToDate>
  <CharactersWithSpaces>39874</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IEMIzz_280211_Turk; Izziņa par atzinumos sniegtajiem iebildumiem par likumprojektu „Par Latvijas Republikas valdības un Turkmenistānas valdības līgumu par sadarbību cīņā pret terorismu, organizēto noziedzību un nelegālu narkotisko vielu, psihotropo vielu</dc:title>
  <dc:subject>Izziņa</dc:subject>
  <dc:creator>Karina Stoļarova</dc:creator>
  <cp:keywords/>
  <dc:description/>
  <cp:lastModifiedBy>marika.laudere@izm.gov.lv</cp:lastModifiedBy>
  <cp:revision>66</cp:revision>
  <cp:lastPrinted>2017-12-07T07:43:00Z</cp:lastPrinted>
  <dcterms:created xsi:type="dcterms:W3CDTF">2019-06-18T08:53:00Z</dcterms:created>
  <dcterms:modified xsi:type="dcterms:W3CDTF">2019-07-11T07:33:00Z</dcterms:modified>
</cp:coreProperties>
</file>